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>Date: August 27, 2026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>Entry: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>Initial documentation of a ransomware incident affecting a small U.S. health care clinic. A staff phishing email led to file encryption and a ransom demand, severely disrupting clinic operations.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>None specified in the initial incident report. Forensic follow-up is expected to involve email gateway logs, endpoint detection and response (EDR) alerts, and SIEM log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b/>
              </w:rPr>
              <w:t xml:space="preserve">Who: </w:t>
            </w:r>
            <w:r>
              <w:t>An organized group of unethical hackers (a ransomware gang) caused the incident by targeting a clinic employee with a phishing email.</w:t>
            </w:r>
          </w:p>
          <w:p>
            <w:r>
              <w:rPr>
                <w:b/>
              </w:rPr>
              <w:t xml:space="preserve">What: </w:t>
            </w:r>
            <w:r>
              <w:t>A staff member downloaded a malicious attachment from a phishing email, which deployed ransomware that encrypted the organization's computer files; the attackers left a ransom note demanding payment for the decryption key.</w:t>
            </w:r>
          </w:p>
          <w:p>
            <w:r>
              <w:rPr>
                <w:b/>
              </w:rPr>
              <w:t xml:space="preserve">When: </w:t>
            </w:r>
            <w:r>
              <w:t>The incident occurred on Tuesday at 9:00 a.m.</w:t>
            </w:r>
          </w:p>
          <w:p>
            <w:r>
              <w:rPr>
                <w:b/>
              </w:rPr>
              <w:t xml:space="preserve">Where: </w:t>
            </w:r>
            <w:r>
              <w:t>The incident occurred on the clinic's internal computer network, beginning with a compromised staff email account.</w:t>
            </w:r>
          </w:p>
          <w:p>
            <w:r>
              <w:rPr>
                <w:b/>
              </w:rPr>
              <w:t xml:space="preserve">Why: </w:t>
            </w:r>
            <w:r>
              <w:t>The incident happened because an employee opened a malicious email attachment, and the clinic's email filtering and/or security awareness training did not stop the phishing message from reaching and deceiving the employee.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>It is not yet confirmed whether the ransomware spread beyond the initially affected workstation, or whether patient data (protected health information) was accessed before encryption — this should be confirmed early given the clinic's HIPAA breach-notification obligations.</w:t>
            </w:r>
          </w:p>
        </w:tc>
      </w:tr>
    </w:tbl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3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9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