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before="320" w:line="240" w:lineRule="auto"/>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rFonts w:ascii="Google Sans" w:cs="Google Sans" w:eastAsia="Google Sans" w:hAnsi="Google Sans"/>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keepNext w:val="0"/>
        <w:keepLines w:val="0"/>
        <w:spacing w:after="0" w:line="240" w:lineRule="auto"/>
        <w:rPr>
          <w:rFonts w:ascii="Google Sans" w:cs="Google Sans" w:eastAsia="Google Sans" w:hAnsi="Google Sans"/>
          <w:b w:val="1"/>
          <w:sz w:val="28"/>
          <w:szCs w:val="28"/>
        </w:rPr>
      </w:pPr>
      <w:bookmarkStart w:colFirst="0" w:colLast="0" w:name="_af80tl7prv5v" w:id="1"/>
      <w:bookmarkEnd w:id="1"/>
      <w:r w:rsidDel="00000000" w:rsidR="00000000" w:rsidRPr="00000000">
        <w:rPr>
          <w:rFonts w:ascii="Google Sans" w:cs="Google Sans" w:eastAsia="Google Sans" w:hAnsi="Google Sans"/>
          <w:b w:val="1"/>
          <w:sz w:val="28"/>
          <w:szCs w:val="28"/>
          <w:rtl w:val="0"/>
        </w:rPr>
        <w:t xml:space="preserve">1</w:t>
      </w:r>
      <w:r w:rsidDel="00000000" w:rsidR="00000000" w:rsidRPr="00000000">
        <w:rPr>
          <w:rFonts w:ascii="Google Sans" w:cs="Google Sans" w:eastAsia="Google Sans" w:hAnsi="Google Sans"/>
          <w:b w:val="1"/>
          <w:sz w:val="28"/>
          <w:szCs w:val="28"/>
          <w:vertAlign w:val="superscript"/>
          <w:rtl w:val="0"/>
        </w:rPr>
        <w:t xml:space="preserve">st</w:t>
      </w:r>
      <w:r w:rsidDel="00000000" w:rsidR="00000000" w:rsidRPr="00000000">
        <w:rPr>
          <w:rFonts w:ascii="Google Sans" w:cs="Google Sans" w:eastAsia="Google Sans" w:hAnsi="Google Sans"/>
          <w:b w:val="1"/>
          <w:sz w:val="28"/>
          <w:szCs w:val="28"/>
          <w:rtl w:val="0"/>
        </w:rPr>
        <w:t xml:space="preserve"> January 20XX</w:t>
      </w:r>
    </w:p>
    <w:p w:rsidR="00000000" w:rsidDel="00000000" w:rsidP="00000000" w:rsidRDefault="00000000" w:rsidRPr="00000000" w14:paraId="00000003">
      <w:pPr>
        <w:pStyle w:val="Subtitle"/>
        <w:keepNext w:val="0"/>
        <w:keepLines w:val="0"/>
        <w:spacing w:after="0" w:line="240" w:lineRule="auto"/>
        <w:rPr>
          <w:rFonts w:ascii="Google Sans" w:cs="Google Sans" w:eastAsia="Google Sans" w:hAnsi="Google Sans"/>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buc6q0k08dmn" w:id="3"/>
      <w:bookmarkEnd w:id="3"/>
      <w:r w:rsidDel="00000000" w:rsidR="00000000" w:rsidRPr="00000000">
        <w:rPr>
          <w:rFonts w:ascii="Proxima Nova" w:cs="Proxima Nova" w:eastAsia="Proxima Nova" w:hAnsi="Proxima Nova"/>
          <w:b w:val="1"/>
          <w:color w:val="353744"/>
          <w:sz w:val="28"/>
          <w:szCs w:val="28"/>
          <w:rtl w:val="0"/>
        </w:rPr>
        <w:t xml:space="preserve">System Description</w:t>
      </w:r>
    </w:p>
    <w:p w:rsidR="00000000" w:rsidDel="00000000" w:rsidP="00000000" w:rsidRDefault="00000000" w:rsidRPr="00000000" w14:paraId="00000005">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e64wndl8jmz1" w:id="4"/>
      <w:bookmarkEnd w:id="4"/>
      <w:r w:rsidDel="00000000" w:rsidR="00000000" w:rsidRPr="00000000">
        <w:rPr>
          <w:rFonts w:ascii="Proxima Nova" w:cs="Proxima Nova" w:eastAsia="Proxima Nova" w:hAnsi="Proxima Nova"/>
          <w:b w:val="1"/>
          <w:color w:val="353744"/>
          <w:sz w:val="28"/>
          <w:szCs w:val="28"/>
          <w:rtl w:val="0"/>
        </w:rPr>
        <w:t xml:space="preserve">Scope</w:t>
      </w:r>
    </w:p>
    <w:p w:rsidR="00000000" w:rsidDel="00000000" w:rsidP="00000000" w:rsidRDefault="00000000" w:rsidRPr="00000000" w14:paraId="00000007">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rFonts w:ascii="Google Sans" w:cs="Google Sans" w:eastAsia="Google Sans" w:hAnsi="Google Sans"/>
            <w:color w:val="1155cc"/>
            <w:u w:val="single"/>
            <w:rtl w:val="0"/>
          </w:rPr>
          <w:t xml:space="preserve">NIST SP 800-30 Rev. 1</w:t>
        </w:r>
      </w:hyperlink>
      <w:r w:rsidDel="00000000" w:rsidR="00000000" w:rsidRPr="00000000">
        <w:rPr>
          <w:rFonts w:ascii="Google Sans" w:cs="Google Sans" w:eastAsia="Google Sans" w:hAnsi="Google Sans"/>
          <w:color w:val="353744"/>
          <w:rtl w:val="0"/>
        </w:rPr>
        <w:t xml:space="preserve"> is used to guide the risk analysis of the information system.</w:t>
      </w:r>
    </w:p>
    <w:p w:rsidR="00000000" w:rsidDel="00000000" w:rsidP="00000000" w:rsidRDefault="00000000" w:rsidRPr="00000000" w14:paraId="00000008">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oymnw3nlvwib" w:id="5"/>
      <w:bookmarkEnd w:id="5"/>
      <w:r w:rsidDel="00000000" w:rsidR="00000000" w:rsidRPr="00000000">
        <w:rPr>
          <w:rFonts w:ascii="Proxima Nova" w:cs="Proxima Nova" w:eastAsia="Proxima Nova" w:hAnsi="Proxima Nova"/>
          <w:b w:val="1"/>
          <w:color w:val="353744"/>
          <w:sz w:val="28"/>
          <w:szCs w:val="28"/>
          <w:rtl w:val="0"/>
        </w:rPr>
        <w:t xml:space="preserve">Purpose</w:t>
      </w:r>
    </w:p>
    <w:p w:rsidR="00000000" w:rsidDel="00000000" w:rsidP="00000000" w:rsidRDefault="00000000" w:rsidRPr="00000000" w14:paraId="00000009">
      <w:pPr>
        <w:spacing w:after="200" w:before="200"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The database server is a critical business asset: it stores and manages the organization's customer, transaction, and operational data, making it central to nearly every business process that depends on that information. Securing the data on this server is essential because a breach could expose sensitive customer or financial information, resulting in regulatory penalties, legal liability, and loss of customer trust. If the server were disabled, the business would lose the ability to process transactions, access records, and support day-to-day operations, potentially halting revenue-generating activity until service is restored.</w:t>
      </w:r>
    </w:p>
    <w:p w:rsidR="00000000" w:rsidDel="00000000" w:rsidP="00000000" w:rsidRDefault="00000000" w:rsidRPr="00000000" w14:paraId="0000000D">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i2ip4lwifo50" w:id="6"/>
      <w:bookmarkEnd w:id="6"/>
      <w:r w:rsidDel="00000000" w:rsidR="00000000" w:rsidRPr="00000000">
        <w:rPr>
          <w:rFonts w:ascii="Proxima Nova" w:cs="Proxima Nova" w:eastAsia="Proxima Nova" w:hAnsi="Proxima Nova"/>
          <w:b w:val="1"/>
          <w:color w:val="353744"/>
          <w:sz w:val="28"/>
          <w:szCs w:val="28"/>
          <w:rtl w:val="0"/>
        </w:rPr>
        <w:t xml:space="preserve">Risk Assessment</w:t>
      </w:r>
    </w:p>
    <w:p w:rsidR="00000000" w:rsidDel="00000000" w:rsidP="00000000" w:rsidRDefault="00000000" w:rsidRPr="00000000" w14:paraId="0000000E">
      <w:pPr>
        <w:spacing w:line="312" w:lineRule="auto"/>
        <w:rPr>
          <w:rFonts w:ascii="Google Sans" w:cs="Google Sans" w:eastAsia="Google Sans" w:hAnsi="Google Sans"/>
          <w:color w:val="35374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E.g.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9</w:t>
            </w:r>
          </w:p>
        </w:tc>
      </w:tr>
      <w:tr>
        <w:trPr>
          <w:cantSplit w:val="0"/>
          <w:tblHeader w:val="0"/>
        </w:trPr>
        <w:tc>
          <w:tcPr>
            <w:shd w:fill="auto" w:val="clear"/>
            <w:tcMar>
              <w:top w:w="100.0" w:type="dxa"/>
              <w:left w:w="100.0" w:type="dxa"/>
              <w:bottom w:w="100.0" w:type="dxa"/>
              <w:right w:w="100.0" w:type="dxa"/>
            </w:tcMar>
            <w:vAlign w:val="top"/>
          </w:tcPr>
          <w:p>
            <w:r>
              <w:t>Hacktivist</w:t>
            </w:r>
          </w:p>
        </w:tc>
        <w:tc>
          <w:tcPr>
            <w:shd w:fill="auto" w:val="clear"/>
            <w:tcMar>
              <w:top w:w="100.0" w:type="dxa"/>
              <w:left w:w="100.0" w:type="dxa"/>
              <w:bottom w:w="100.0" w:type="dxa"/>
              <w:right w:w="100.0" w:type="dxa"/>
            </w:tcMar>
            <w:vAlign w:val="top"/>
          </w:tcPr>
          <w:p>
            <w:r>
              <w:t>Conduct Denial of Service (DoS) attacks.</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6</w:t>
            </w:r>
          </w:p>
        </w:tc>
      </w:tr>
      <w:tr>
        <w:trPr>
          <w:cantSplit w:val="0"/>
          <w:tblHeader w:val="0"/>
        </w:trPr>
        <w:tc>
          <w:tcPr>
            <w:shd w:fill="auto" w:val="clear"/>
            <w:tcMar>
              <w:top w:w="100.0" w:type="dxa"/>
              <w:left w:w="100.0" w:type="dxa"/>
              <w:bottom w:w="100.0" w:type="dxa"/>
              <w:right w:w="100.0" w:type="dxa"/>
            </w:tcMar>
            <w:vAlign w:val="top"/>
          </w:tcPr>
          <w:p>
            <w:r>
              <w:t>Privileged user (insider, accidental)</w:t>
            </w:r>
          </w:p>
        </w:tc>
        <w:tc>
          <w:tcPr>
            <w:shd w:fill="auto" w:val="clear"/>
            <w:tcMar>
              <w:top w:w="100.0" w:type="dxa"/>
              <w:left w:w="100.0" w:type="dxa"/>
              <w:bottom w:w="100.0" w:type="dxa"/>
              <w:right w:w="100.0" w:type="dxa"/>
            </w:tcMar>
            <w:vAlign w:val="top"/>
          </w:tcPr>
          <w:p>
            <w:r>
              <w:t>Alter/Delete critical information</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4</w:t>
            </w:r>
          </w:p>
        </w:tc>
      </w:tr>
    </w:tbl>
    <w:p w:rsidR="00000000" w:rsidDel="00000000" w:rsidP="00000000" w:rsidRDefault="00000000" w:rsidRPr="00000000" w14:paraId="00000023">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a9ivkvfuz16w" w:id="7"/>
      <w:bookmarkEnd w:id="7"/>
      <w:r w:rsidDel="00000000" w:rsidR="00000000" w:rsidRPr="00000000">
        <w:rPr>
          <w:rFonts w:ascii="Proxima Nova" w:cs="Proxima Nova" w:eastAsia="Proxima Nova" w:hAnsi="Proxima Nova"/>
          <w:b w:val="1"/>
          <w:color w:val="353744"/>
          <w:sz w:val="28"/>
          <w:szCs w:val="28"/>
          <w:rtl w:val="0"/>
        </w:rPr>
        <w:t xml:space="preserve">Approach</w:t>
      </w:r>
    </w:p>
    <w:p w:rsidR="00000000" w:rsidDel="00000000" w:rsidP="00000000" w:rsidRDefault="00000000" w:rsidRPr="00000000" w14:paraId="00000024">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rsidR="00000000" w:rsidDel="00000000" w:rsidP="00000000" w:rsidRDefault="00000000" w:rsidRPr="00000000" w14:paraId="00000025">
      <w:pPr>
        <w:spacing w:before="200"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The risks evaluated in this assessment were selected from the threat sources and threat events outlined in NIST SP 800-30 Rev. 1, prioritizing those most relevant to a publicly accessible database server handling sensitive business data: external actors such as competitors and hacktivists, and internal actors such as privileged users. Likelihood and severity scores were derived using the qualitative-to-quantitative scale defined in NIST SP 800-30 (Low = 1, Moderate = 2, High = 3), based on the intent and capability of each threat source and the potential business impact of each threat event, with overall risk calculated as Likelihood x Severity. The main limitation of this assessment is that it relies on illustrative, generalized threat data rather than live telemetry (e.g., SIEM alerts or penetration-test findings) specific to this server, so scores should be revisited once real monitoring data is available.</w:t>
      </w:r>
    </w:p>
    <w:p w:rsidR="00000000" w:rsidDel="00000000" w:rsidP="00000000" w:rsidRDefault="00000000" w:rsidRPr="00000000" w14:paraId="00000029">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vf6vykh0xvv7" w:id="8"/>
      <w:bookmarkEnd w:id="8"/>
      <w:r w:rsidDel="00000000" w:rsidR="00000000" w:rsidRPr="00000000">
        <w:rPr>
          <w:rFonts w:ascii="Proxima Nova" w:cs="Proxima Nova" w:eastAsia="Proxima Nova" w:hAnsi="Proxima Nova"/>
          <w:b w:val="1"/>
          <w:color w:val="353744"/>
          <w:sz w:val="28"/>
          <w:szCs w:val="28"/>
          <w:rtl w:val="0"/>
        </w:rPr>
        <w:t xml:space="preserve">Remediation Strategy</w:t>
      </w:r>
    </w:p>
    <w:p w:rsidR="00000000" w:rsidDel="00000000" w:rsidP="00000000" w:rsidRDefault="00000000" w:rsidRPr="00000000" w14:paraId="0000002A">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rsidR="00000000" w:rsidDel="00000000" w:rsidP="00000000" w:rsidRDefault="00000000" w:rsidRPr="00000000" w14:paraId="0000002B">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Currently, the server relies on SSL/TLS encrypted connections and standard access controls to protect data in transit and restrict unauthorized use. To further reduce the risks identified above, the organization should implement rate limiting and DDoS protection at the network edge to reduce the impact of denial-of-service attempts from hacktivist threat actors, enforce least privilege and mandatory activity logging for all privileged database accounts to reduce the risk of accidental or malicious alteration of critical data by insiders, and apply regular patching and vulnerability scanning to close off exfiltration paths a competitor or other external actor could exploit. Together, these technical (rate limiting, encryption, patching), operational (activity logging, monitoring), and managerial (least-privilege policy, periodic access review) controls would reduce both the likelihood and potential severity of the threats scored above, strengthening the server's overall security posture.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c4L2azQlnUM-8r43PU9mYlT30BnxTwdjAMqpT7JeZk/edit?resourcekey=0-Q-XglnC3Li7JPK2hIvMkVg#heading=h.hvbcmqwzo9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