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B907F" w14:textId="11F62A5B" w:rsidR="0044163B" w:rsidRPr="009D07D8" w:rsidRDefault="00E4569D" w:rsidP="001D4870">
      <w:pPr>
        <w:pStyle w:val="Heading1"/>
        <w:spacing w:line="360" w:lineRule="auto"/>
        <w:rPr>
          <w:rFonts w:ascii="Times New Roman" w:hAnsi="Times New Roman" w:cs="Times New Roman"/>
          <w:b/>
          <w:bCs/>
          <w:sz w:val="24"/>
          <w:szCs w:val="24"/>
          <w:u w:val="single"/>
        </w:rPr>
      </w:pPr>
      <w:bookmarkStart w:id="0" w:name="_Toc171616137"/>
      <w:r w:rsidRPr="009D07D8">
        <w:rPr>
          <w:rFonts w:ascii="Times New Roman" w:hAnsi="Times New Roman" w:cs="Times New Roman"/>
          <w:b/>
          <w:bCs/>
          <w:sz w:val="24"/>
          <w:szCs w:val="24"/>
          <w:u w:val="single"/>
        </w:rPr>
        <w:t>TABLE OF CONTENT</w:t>
      </w:r>
      <w:bookmarkEnd w:id="0"/>
    </w:p>
    <w:p w14:paraId="26E3D3AA" w14:textId="43E6D8E4" w:rsidR="009D07D8" w:rsidRDefault="00E4569D">
      <w:pPr>
        <w:pStyle w:val="TOC1"/>
        <w:tabs>
          <w:tab w:val="right" w:leader="dot" w:pos="9350"/>
        </w:tabs>
        <w:rPr>
          <w:rFonts w:asciiTheme="minorHAnsi" w:eastAsiaTheme="minorEastAsia" w:hAnsiTheme="minorHAnsi" w:cstheme="minorBidi"/>
          <w:noProof/>
          <w:sz w:val="22"/>
          <w:szCs w:val="22"/>
          <w:lang w:val="en-US"/>
        </w:rPr>
      </w:pPr>
      <w:r w:rsidRPr="009D07D8">
        <w:rPr>
          <w:b/>
          <w:bCs/>
          <w:u w:val="single"/>
        </w:rPr>
        <w:fldChar w:fldCharType="begin"/>
      </w:r>
      <w:r w:rsidRPr="009D07D8">
        <w:rPr>
          <w:b/>
          <w:bCs/>
          <w:u w:val="single"/>
        </w:rPr>
        <w:instrText xml:space="preserve"> TOC \o \h \z \u </w:instrText>
      </w:r>
      <w:r w:rsidRPr="009D07D8">
        <w:rPr>
          <w:b/>
          <w:bCs/>
          <w:u w:val="single"/>
        </w:rPr>
        <w:fldChar w:fldCharType="separate"/>
      </w:r>
      <w:hyperlink w:anchor="_Toc171616137" w:history="1">
        <w:r w:rsidR="009D07D8" w:rsidRPr="006B5F97">
          <w:rPr>
            <w:rStyle w:val="Hyperlink"/>
            <w:b/>
            <w:bCs/>
            <w:noProof/>
          </w:rPr>
          <w:t>TABLE OF CONTENT</w:t>
        </w:r>
        <w:r w:rsidR="009D07D8">
          <w:rPr>
            <w:noProof/>
            <w:webHidden/>
          </w:rPr>
          <w:tab/>
        </w:r>
        <w:r w:rsidR="009D07D8">
          <w:rPr>
            <w:noProof/>
            <w:webHidden/>
          </w:rPr>
          <w:fldChar w:fldCharType="begin"/>
        </w:r>
        <w:r w:rsidR="009D07D8">
          <w:rPr>
            <w:noProof/>
            <w:webHidden/>
          </w:rPr>
          <w:instrText xml:space="preserve"> PAGEREF _Toc171616137 \h </w:instrText>
        </w:r>
        <w:r w:rsidR="009D07D8">
          <w:rPr>
            <w:noProof/>
            <w:webHidden/>
          </w:rPr>
        </w:r>
        <w:r w:rsidR="009D07D8">
          <w:rPr>
            <w:noProof/>
            <w:webHidden/>
          </w:rPr>
          <w:fldChar w:fldCharType="separate"/>
        </w:r>
        <w:r w:rsidR="009D07D8">
          <w:rPr>
            <w:noProof/>
            <w:webHidden/>
          </w:rPr>
          <w:t>1</w:t>
        </w:r>
        <w:r w:rsidR="009D07D8">
          <w:rPr>
            <w:noProof/>
            <w:webHidden/>
          </w:rPr>
          <w:fldChar w:fldCharType="end"/>
        </w:r>
      </w:hyperlink>
    </w:p>
    <w:p w14:paraId="0D3BF9B3" w14:textId="4BDFBE79" w:rsidR="009D07D8" w:rsidRDefault="009D07D8">
      <w:pPr>
        <w:pStyle w:val="TOC1"/>
        <w:tabs>
          <w:tab w:val="right" w:leader="dot" w:pos="9350"/>
        </w:tabs>
        <w:rPr>
          <w:rFonts w:asciiTheme="minorHAnsi" w:eastAsiaTheme="minorEastAsia" w:hAnsiTheme="minorHAnsi" w:cstheme="minorBidi"/>
          <w:noProof/>
          <w:sz w:val="22"/>
          <w:szCs w:val="22"/>
          <w:lang w:val="en-US"/>
        </w:rPr>
      </w:pPr>
      <w:hyperlink w:anchor="_Toc171616138" w:history="1">
        <w:r w:rsidRPr="006B5F97">
          <w:rPr>
            <w:rStyle w:val="Hyperlink"/>
            <w:b/>
            <w:bCs/>
            <w:noProof/>
          </w:rPr>
          <w:t>CHAPTER FOUR (4)</w:t>
        </w:r>
        <w:r>
          <w:rPr>
            <w:noProof/>
            <w:webHidden/>
          </w:rPr>
          <w:tab/>
        </w:r>
        <w:r>
          <w:rPr>
            <w:noProof/>
            <w:webHidden/>
          </w:rPr>
          <w:fldChar w:fldCharType="begin"/>
        </w:r>
        <w:r>
          <w:rPr>
            <w:noProof/>
            <w:webHidden/>
          </w:rPr>
          <w:instrText xml:space="preserve"> PAGEREF _Toc171616138 \h </w:instrText>
        </w:r>
        <w:r>
          <w:rPr>
            <w:noProof/>
            <w:webHidden/>
          </w:rPr>
        </w:r>
        <w:r>
          <w:rPr>
            <w:noProof/>
            <w:webHidden/>
          </w:rPr>
          <w:fldChar w:fldCharType="separate"/>
        </w:r>
        <w:r>
          <w:rPr>
            <w:noProof/>
            <w:webHidden/>
          </w:rPr>
          <w:t>1</w:t>
        </w:r>
        <w:r>
          <w:rPr>
            <w:noProof/>
            <w:webHidden/>
          </w:rPr>
          <w:fldChar w:fldCharType="end"/>
        </w:r>
      </w:hyperlink>
    </w:p>
    <w:p w14:paraId="50E712CE" w14:textId="754956B6" w:rsidR="009D07D8" w:rsidRDefault="009D07D8">
      <w:pPr>
        <w:pStyle w:val="TOC2"/>
        <w:tabs>
          <w:tab w:val="right" w:leader="dot" w:pos="9350"/>
        </w:tabs>
        <w:rPr>
          <w:rFonts w:asciiTheme="minorHAnsi" w:eastAsiaTheme="minorEastAsia" w:hAnsiTheme="minorHAnsi" w:cstheme="minorBidi"/>
          <w:noProof/>
          <w:sz w:val="22"/>
          <w:szCs w:val="22"/>
          <w:lang w:val="en-US"/>
        </w:rPr>
      </w:pPr>
      <w:hyperlink w:anchor="_Toc171616139" w:history="1">
        <w:r w:rsidRPr="006B5F97">
          <w:rPr>
            <w:rStyle w:val="Hyperlink"/>
            <w:b/>
            <w:bCs/>
            <w:noProof/>
          </w:rPr>
          <w:t>4.0 RESULTS</w:t>
        </w:r>
        <w:r>
          <w:rPr>
            <w:noProof/>
            <w:webHidden/>
          </w:rPr>
          <w:tab/>
        </w:r>
        <w:r>
          <w:rPr>
            <w:noProof/>
            <w:webHidden/>
          </w:rPr>
          <w:fldChar w:fldCharType="begin"/>
        </w:r>
        <w:r>
          <w:rPr>
            <w:noProof/>
            <w:webHidden/>
          </w:rPr>
          <w:instrText xml:space="preserve"> PAGEREF _Toc171616139 \h </w:instrText>
        </w:r>
        <w:r>
          <w:rPr>
            <w:noProof/>
            <w:webHidden/>
          </w:rPr>
        </w:r>
        <w:r>
          <w:rPr>
            <w:noProof/>
            <w:webHidden/>
          </w:rPr>
          <w:fldChar w:fldCharType="separate"/>
        </w:r>
        <w:r>
          <w:rPr>
            <w:noProof/>
            <w:webHidden/>
          </w:rPr>
          <w:t>1</w:t>
        </w:r>
        <w:r>
          <w:rPr>
            <w:noProof/>
            <w:webHidden/>
          </w:rPr>
          <w:fldChar w:fldCharType="end"/>
        </w:r>
      </w:hyperlink>
    </w:p>
    <w:p w14:paraId="4BC94D50" w14:textId="537B5D71" w:rsidR="009D07D8" w:rsidRDefault="009D07D8">
      <w:pPr>
        <w:pStyle w:val="TOC3"/>
        <w:tabs>
          <w:tab w:val="right" w:leader="dot" w:pos="9350"/>
        </w:tabs>
        <w:rPr>
          <w:rFonts w:asciiTheme="minorHAnsi" w:eastAsiaTheme="minorEastAsia" w:hAnsiTheme="minorHAnsi" w:cstheme="minorBidi"/>
          <w:noProof/>
          <w:sz w:val="22"/>
          <w:szCs w:val="22"/>
          <w:lang w:val="en-US"/>
        </w:rPr>
      </w:pPr>
      <w:hyperlink w:anchor="_Toc171616140" w:history="1">
        <w:r w:rsidRPr="006B5F97">
          <w:rPr>
            <w:rStyle w:val="Hyperlink"/>
            <w:noProof/>
          </w:rPr>
          <w:t>4.1 Relative Abundance of Bacteria</w:t>
        </w:r>
        <w:r>
          <w:rPr>
            <w:noProof/>
            <w:webHidden/>
          </w:rPr>
          <w:tab/>
        </w:r>
        <w:r>
          <w:rPr>
            <w:noProof/>
            <w:webHidden/>
          </w:rPr>
          <w:fldChar w:fldCharType="begin"/>
        </w:r>
        <w:r>
          <w:rPr>
            <w:noProof/>
            <w:webHidden/>
          </w:rPr>
          <w:instrText xml:space="preserve"> PAGEREF _Toc171616140 \h </w:instrText>
        </w:r>
        <w:r>
          <w:rPr>
            <w:noProof/>
            <w:webHidden/>
          </w:rPr>
        </w:r>
        <w:r>
          <w:rPr>
            <w:noProof/>
            <w:webHidden/>
          </w:rPr>
          <w:fldChar w:fldCharType="separate"/>
        </w:r>
        <w:r>
          <w:rPr>
            <w:noProof/>
            <w:webHidden/>
          </w:rPr>
          <w:t>1</w:t>
        </w:r>
        <w:r>
          <w:rPr>
            <w:noProof/>
            <w:webHidden/>
          </w:rPr>
          <w:fldChar w:fldCharType="end"/>
        </w:r>
      </w:hyperlink>
    </w:p>
    <w:p w14:paraId="04A7E629" w14:textId="26751B6D" w:rsidR="009D07D8" w:rsidRDefault="009D07D8">
      <w:pPr>
        <w:pStyle w:val="TOC4"/>
        <w:tabs>
          <w:tab w:val="right" w:leader="dot" w:pos="9350"/>
        </w:tabs>
        <w:rPr>
          <w:rFonts w:asciiTheme="minorHAnsi" w:eastAsiaTheme="minorEastAsia" w:hAnsiTheme="minorHAnsi" w:cstheme="minorBidi"/>
          <w:noProof/>
          <w:sz w:val="22"/>
          <w:szCs w:val="22"/>
          <w:lang w:val="en-US"/>
        </w:rPr>
      </w:pPr>
      <w:hyperlink w:anchor="_Toc171616141" w:history="1">
        <w:r w:rsidRPr="006B5F97">
          <w:rPr>
            <w:rStyle w:val="Hyperlink"/>
            <w:noProof/>
          </w:rPr>
          <w:t>4.1.1 Abundance of bacteria in each hospital ward.</w:t>
        </w:r>
        <w:r>
          <w:rPr>
            <w:noProof/>
            <w:webHidden/>
          </w:rPr>
          <w:tab/>
        </w:r>
        <w:r>
          <w:rPr>
            <w:noProof/>
            <w:webHidden/>
          </w:rPr>
          <w:fldChar w:fldCharType="begin"/>
        </w:r>
        <w:r>
          <w:rPr>
            <w:noProof/>
            <w:webHidden/>
          </w:rPr>
          <w:instrText xml:space="preserve"> PAGEREF _Toc171616141 \h </w:instrText>
        </w:r>
        <w:r>
          <w:rPr>
            <w:noProof/>
            <w:webHidden/>
          </w:rPr>
        </w:r>
        <w:r>
          <w:rPr>
            <w:noProof/>
            <w:webHidden/>
          </w:rPr>
          <w:fldChar w:fldCharType="separate"/>
        </w:r>
        <w:r>
          <w:rPr>
            <w:noProof/>
            <w:webHidden/>
          </w:rPr>
          <w:t>1</w:t>
        </w:r>
        <w:r>
          <w:rPr>
            <w:noProof/>
            <w:webHidden/>
          </w:rPr>
          <w:fldChar w:fldCharType="end"/>
        </w:r>
      </w:hyperlink>
    </w:p>
    <w:p w14:paraId="38355C2E" w14:textId="1E03867B" w:rsidR="009D07D8" w:rsidRDefault="009D07D8">
      <w:pPr>
        <w:pStyle w:val="TOC4"/>
        <w:tabs>
          <w:tab w:val="right" w:leader="dot" w:pos="9350"/>
        </w:tabs>
        <w:rPr>
          <w:rFonts w:asciiTheme="minorHAnsi" w:eastAsiaTheme="minorEastAsia" w:hAnsiTheme="minorHAnsi" w:cstheme="minorBidi"/>
          <w:noProof/>
          <w:sz w:val="22"/>
          <w:szCs w:val="22"/>
          <w:lang w:val="en-US"/>
        </w:rPr>
      </w:pPr>
      <w:hyperlink w:anchor="_Toc171616142" w:history="1">
        <w:r w:rsidRPr="006B5F97">
          <w:rPr>
            <w:rStyle w:val="Hyperlink"/>
            <w:noProof/>
          </w:rPr>
          <w:t>4.1.2 Abundance of each bacteria in the hospital wards.</w:t>
        </w:r>
        <w:r>
          <w:rPr>
            <w:noProof/>
            <w:webHidden/>
          </w:rPr>
          <w:tab/>
        </w:r>
        <w:r>
          <w:rPr>
            <w:noProof/>
            <w:webHidden/>
          </w:rPr>
          <w:fldChar w:fldCharType="begin"/>
        </w:r>
        <w:r>
          <w:rPr>
            <w:noProof/>
            <w:webHidden/>
          </w:rPr>
          <w:instrText xml:space="preserve"> PAGEREF _Toc171616142 \h </w:instrText>
        </w:r>
        <w:r>
          <w:rPr>
            <w:noProof/>
            <w:webHidden/>
          </w:rPr>
        </w:r>
        <w:r>
          <w:rPr>
            <w:noProof/>
            <w:webHidden/>
          </w:rPr>
          <w:fldChar w:fldCharType="separate"/>
        </w:r>
        <w:r>
          <w:rPr>
            <w:noProof/>
            <w:webHidden/>
          </w:rPr>
          <w:t>2</w:t>
        </w:r>
        <w:r>
          <w:rPr>
            <w:noProof/>
            <w:webHidden/>
          </w:rPr>
          <w:fldChar w:fldCharType="end"/>
        </w:r>
      </w:hyperlink>
    </w:p>
    <w:p w14:paraId="721E2DC5" w14:textId="177016E9" w:rsidR="009D07D8" w:rsidRDefault="009D07D8">
      <w:pPr>
        <w:pStyle w:val="TOC4"/>
        <w:tabs>
          <w:tab w:val="right" w:leader="dot" w:pos="9350"/>
        </w:tabs>
        <w:rPr>
          <w:rFonts w:asciiTheme="minorHAnsi" w:eastAsiaTheme="minorEastAsia" w:hAnsiTheme="minorHAnsi" w:cstheme="minorBidi"/>
          <w:noProof/>
          <w:sz w:val="22"/>
          <w:szCs w:val="22"/>
          <w:lang w:val="en-US"/>
        </w:rPr>
      </w:pPr>
      <w:hyperlink w:anchor="_Toc171616143" w:history="1">
        <w:r w:rsidRPr="006B5F97">
          <w:rPr>
            <w:rStyle w:val="Hyperlink"/>
            <w:noProof/>
          </w:rPr>
          <w:t>4.1.3 Total abundance of bacteria in the hospital wards.</w:t>
        </w:r>
        <w:r>
          <w:rPr>
            <w:noProof/>
            <w:webHidden/>
          </w:rPr>
          <w:tab/>
        </w:r>
        <w:r>
          <w:rPr>
            <w:noProof/>
            <w:webHidden/>
          </w:rPr>
          <w:fldChar w:fldCharType="begin"/>
        </w:r>
        <w:r>
          <w:rPr>
            <w:noProof/>
            <w:webHidden/>
          </w:rPr>
          <w:instrText xml:space="preserve"> PAGEREF _Toc171616143 \h </w:instrText>
        </w:r>
        <w:r>
          <w:rPr>
            <w:noProof/>
            <w:webHidden/>
          </w:rPr>
        </w:r>
        <w:r>
          <w:rPr>
            <w:noProof/>
            <w:webHidden/>
          </w:rPr>
          <w:fldChar w:fldCharType="separate"/>
        </w:r>
        <w:r>
          <w:rPr>
            <w:noProof/>
            <w:webHidden/>
          </w:rPr>
          <w:t>3</w:t>
        </w:r>
        <w:r>
          <w:rPr>
            <w:noProof/>
            <w:webHidden/>
          </w:rPr>
          <w:fldChar w:fldCharType="end"/>
        </w:r>
      </w:hyperlink>
    </w:p>
    <w:p w14:paraId="0ACECF56" w14:textId="2D54B753" w:rsidR="009D07D8" w:rsidRDefault="009D07D8">
      <w:pPr>
        <w:pStyle w:val="TOC4"/>
        <w:tabs>
          <w:tab w:val="right" w:leader="dot" w:pos="9350"/>
        </w:tabs>
        <w:rPr>
          <w:rFonts w:asciiTheme="minorHAnsi" w:eastAsiaTheme="minorEastAsia" w:hAnsiTheme="minorHAnsi" w:cstheme="minorBidi"/>
          <w:noProof/>
          <w:sz w:val="22"/>
          <w:szCs w:val="22"/>
          <w:lang w:val="en-US"/>
        </w:rPr>
      </w:pPr>
      <w:hyperlink w:anchor="_Toc171616144" w:history="1">
        <w:r w:rsidRPr="006B5F97">
          <w:rPr>
            <w:rStyle w:val="Hyperlink"/>
            <w:noProof/>
          </w:rPr>
          <w:t>4.1.4 Mean and ANOVA</w:t>
        </w:r>
        <w:r>
          <w:rPr>
            <w:noProof/>
            <w:webHidden/>
          </w:rPr>
          <w:tab/>
        </w:r>
        <w:r>
          <w:rPr>
            <w:noProof/>
            <w:webHidden/>
          </w:rPr>
          <w:fldChar w:fldCharType="begin"/>
        </w:r>
        <w:r>
          <w:rPr>
            <w:noProof/>
            <w:webHidden/>
          </w:rPr>
          <w:instrText xml:space="preserve"> PAGEREF _Toc171616144 \h </w:instrText>
        </w:r>
        <w:r>
          <w:rPr>
            <w:noProof/>
            <w:webHidden/>
          </w:rPr>
        </w:r>
        <w:r>
          <w:rPr>
            <w:noProof/>
            <w:webHidden/>
          </w:rPr>
          <w:fldChar w:fldCharType="separate"/>
        </w:r>
        <w:r>
          <w:rPr>
            <w:noProof/>
            <w:webHidden/>
          </w:rPr>
          <w:t>4</w:t>
        </w:r>
        <w:r>
          <w:rPr>
            <w:noProof/>
            <w:webHidden/>
          </w:rPr>
          <w:fldChar w:fldCharType="end"/>
        </w:r>
      </w:hyperlink>
    </w:p>
    <w:p w14:paraId="3AF4D7F4" w14:textId="67DA00B6" w:rsidR="009D07D8" w:rsidRDefault="009D07D8">
      <w:pPr>
        <w:pStyle w:val="TOC3"/>
        <w:tabs>
          <w:tab w:val="right" w:leader="dot" w:pos="9350"/>
        </w:tabs>
        <w:rPr>
          <w:rFonts w:asciiTheme="minorHAnsi" w:eastAsiaTheme="minorEastAsia" w:hAnsiTheme="minorHAnsi" w:cstheme="minorBidi"/>
          <w:noProof/>
          <w:sz w:val="22"/>
          <w:szCs w:val="22"/>
          <w:lang w:val="en-US"/>
        </w:rPr>
      </w:pPr>
      <w:hyperlink w:anchor="_Toc171616145" w:history="1">
        <w:r w:rsidRPr="006B5F97">
          <w:rPr>
            <w:rStyle w:val="Hyperlink"/>
            <w:noProof/>
          </w:rPr>
          <w:t>4.2 Relative Abundance of Fungi</w:t>
        </w:r>
        <w:r>
          <w:rPr>
            <w:noProof/>
            <w:webHidden/>
          </w:rPr>
          <w:tab/>
        </w:r>
        <w:r>
          <w:rPr>
            <w:noProof/>
            <w:webHidden/>
          </w:rPr>
          <w:fldChar w:fldCharType="begin"/>
        </w:r>
        <w:r>
          <w:rPr>
            <w:noProof/>
            <w:webHidden/>
          </w:rPr>
          <w:instrText xml:space="preserve"> PAGEREF _Toc171616145 \h </w:instrText>
        </w:r>
        <w:r>
          <w:rPr>
            <w:noProof/>
            <w:webHidden/>
          </w:rPr>
        </w:r>
        <w:r>
          <w:rPr>
            <w:noProof/>
            <w:webHidden/>
          </w:rPr>
          <w:fldChar w:fldCharType="separate"/>
        </w:r>
        <w:r>
          <w:rPr>
            <w:noProof/>
            <w:webHidden/>
          </w:rPr>
          <w:t>6</w:t>
        </w:r>
        <w:r>
          <w:rPr>
            <w:noProof/>
            <w:webHidden/>
          </w:rPr>
          <w:fldChar w:fldCharType="end"/>
        </w:r>
      </w:hyperlink>
    </w:p>
    <w:p w14:paraId="5E0D90F1" w14:textId="76B0D44E" w:rsidR="009D07D8" w:rsidRDefault="009D07D8">
      <w:pPr>
        <w:pStyle w:val="TOC4"/>
        <w:tabs>
          <w:tab w:val="right" w:leader="dot" w:pos="9350"/>
        </w:tabs>
        <w:rPr>
          <w:rFonts w:asciiTheme="minorHAnsi" w:eastAsiaTheme="minorEastAsia" w:hAnsiTheme="minorHAnsi" w:cstheme="minorBidi"/>
          <w:noProof/>
          <w:sz w:val="22"/>
          <w:szCs w:val="22"/>
          <w:lang w:val="en-US"/>
        </w:rPr>
      </w:pPr>
      <w:hyperlink w:anchor="_Toc171616146" w:history="1">
        <w:r w:rsidRPr="006B5F97">
          <w:rPr>
            <w:rStyle w:val="Hyperlink"/>
            <w:noProof/>
          </w:rPr>
          <w:t>4.2.1 Abundance of fungi in each hospital ward.</w:t>
        </w:r>
        <w:r>
          <w:rPr>
            <w:noProof/>
            <w:webHidden/>
          </w:rPr>
          <w:tab/>
        </w:r>
        <w:r>
          <w:rPr>
            <w:noProof/>
            <w:webHidden/>
          </w:rPr>
          <w:fldChar w:fldCharType="begin"/>
        </w:r>
        <w:r>
          <w:rPr>
            <w:noProof/>
            <w:webHidden/>
          </w:rPr>
          <w:instrText xml:space="preserve"> PAGEREF _Toc171616146 \h </w:instrText>
        </w:r>
        <w:r>
          <w:rPr>
            <w:noProof/>
            <w:webHidden/>
          </w:rPr>
        </w:r>
        <w:r>
          <w:rPr>
            <w:noProof/>
            <w:webHidden/>
          </w:rPr>
          <w:fldChar w:fldCharType="separate"/>
        </w:r>
        <w:r>
          <w:rPr>
            <w:noProof/>
            <w:webHidden/>
          </w:rPr>
          <w:t>6</w:t>
        </w:r>
        <w:r>
          <w:rPr>
            <w:noProof/>
            <w:webHidden/>
          </w:rPr>
          <w:fldChar w:fldCharType="end"/>
        </w:r>
      </w:hyperlink>
    </w:p>
    <w:p w14:paraId="497E5D91" w14:textId="14265754" w:rsidR="009D07D8" w:rsidRDefault="009D07D8">
      <w:pPr>
        <w:pStyle w:val="TOC4"/>
        <w:tabs>
          <w:tab w:val="right" w:leader="dot" w:pos="9350"/>
        </w:tabs>
        <w:rPr>
          <w:rFonts w:asciiTheme="minorHAnsi" w:eastAsiaTheme="minorEastAsia" w:hAnsiTheme="minorHAnsi" w:cstheme="minorBidi"/>
          <w:noProof/>
          <w:sz w:val="22"/>
          <w:szCs w:val="22"/>
          <w:lang w:val="en-US"/>
        </w:rPr>
      </w:pPr>
      <w:hyperlink w:anchor="_Toc171616147" w:history="1">
        <w:r w:rsidRPr="006B5F97">
          <w:rPr>
            <w:rStyle w:val="Hyperlink"/>
            <w:noProof/>
          </w:rPr>
          <w:t>4.2.2 Abundance of each fungi in the hospital wards.</w:t>
        </w:r>
        <w:r>
          <w:rPr>
            <w:noProof/>
            <w:webHidden/>
          </w:rPr>
          <w:tab/>
        </w:r>
        <w:r>
          <w:rPr>
            <w:noProof/>
            <w:webHidden/>
          </w:rPr>
          <w:fldChar w:fldCharType="begin"/>
        </w:r>
        <w:r>
          <w:rPr>
            <w:noProof/>
            <w:webHidden/>
          </w:rPr>
          <w:instrText xml:space="preserve"> PAGEREF _Toc171616147 \h </w:instrText>
        </w:r>
        <w:r>
          <w:rPr>
            <w:noProof/>
            <w:webHidden/>
          </w:rPr>
        </w:r>
        <w:r>
          <w:rPr>
            <w:noProof/>
            <w:webHidden/>
          </w:rPr>
          <w:fldChar w:fldCharType="separate"/>
        </w:r>
        <w:r>
          <w:rPr>
            <w:noProof/>
            <w:webHidden/>
          </w:rPr>
          <w:t>7</w:t>
        </w:r>
        <w:r>
          <w:rPr>
            <w:noProof/>
            <w:webHidden/>
          </w:rPr>
          <w:fldChar w:fldCharType="end"/>
        </w:r>
      </w:hyperlink>
    </w:p>
    <w:p w14:paraId="0FD872B9" w14:textId="4EECA9E4" w:rsidR="009D07D8" w:rsidRDefault="009D07D8">
      <w:pPr>
        <w:pStyle w:val="TOC4"/>
        <w:tabs>
          <w:tab w:val="right" w:leader="dot" w:pos="9350"/>
        </w:tabs>
        <w:rPr>
          <w:rFonts w:asciiTheme="minorHAnsi" w:eastAsiaTheme="minorEastAsia" w:hAnsiTheme="minorHAnsi" w:cstheme="minorBidi"/>
          <w:noProof/>
          <w:sz w:val="22"/>
          <w:szCs w:val="22"/>
          <w:lang w:val="en-US"/>
        </w:rPr>
      </w:pPr>
      <w:hyperlink w:anchor="_Toc171616148" w:history="1">
        <w:r w:rsidRPr="006B5F97">
          <w:rPr>
            <w:rStyle w:val="Hyperlink"/>
            <w:noProof/>
          </w:rPr>
          <w:t>4.2.3 Total abundance of fungi in the hospital wards.</w:t>
        </w:r>
        <w:r>
          <w:rPr>
            <w:noProof/>
            <w:webHidden/>
          </w:rPr>
          <w:tab/>
        </w:r>
        <w:r>
          <w:rPr>
            <w:noProof/>
            <w:webHidden/>
          </w:rPr>
          <w:fldChar w:fldCharType="begin"/>
        </w:r>
        <w:r>
          <w:rPr>
            <w:noProof/>
            <w:webHidden/>
          </w:rPr>
          <w:instrText xml:space="preserve"> PAGEREF _Toc171616148 \h </w:instrText>
        </w:r>
        <w:r>
          <w:rPr>
            <w:noProof/>
            <w:webHidden/>
          </w:rPr>
        </w:r>
        <w:r>
          <w:rPr>
            <w:noProof/>
            <w:webHidden/>
          </w:rPr>
          <w:fldChar w:fldCharType="separate"/>
        </w:r>
        <w:r>
          <w:rPr>
            <w:noProof/>
            <w:webHidden/>
          </w:rPr>
          <w:t>8</w:t>
        </w:r>
        <w:r>
          <w:rPr>
            <w:noProof/>
            <w:webHidden/>
          </w:rPr>
          <w:fldChar w:fldCharType="end"/>
        </w:r>
      </w:hyperlink>
    </w:p>
    <w:p w14:paraId="0D23AA63" w14:textId="7DB5DE06" w:rsidR="00E4569D" w:rsidRPr="009D07D8" w:rsidRDefault="00E4569D" w:rsidP="001D4870">
      <w:pPr>
        <w:spacing w:after="0" w:line="360" w:lineRule="auto"/>
        <w:jc w:val="both"/>
        <w:rPr>
          <w:b/>
          <w:bCs/>
          <w:u w:val="single"/>
        </w:rPr>
      </w:pPr>
      <w:r w:rsidRPr="009D07D8">
        <w:rPr>
          <w:b/>
          <w:bCs/>
          <w:u w:val="single"/>
        </w:rPr>
        <w:fldChar w:fldCharType="end"/>
      </w:r>
    </w:p>
    <w:p w14:paraId="57E0333F" w14:textId="0AD804C4" w:rsidR="0097754A" w:rsidRPr="009D07D8" w:rsidRDefault="00E44FFB" w:rsidP="001D4870">
      <w:pPr>
        <w:pStyle w:val="Heading1"/>
        <w:spacing w:line="360" w:lineRule="auto"/>
        <w:jc w:val="both"/>
        <w:rPr>
          <w:rFonts w:ascii="Times New Roman" w:hAnsi="Times New Roman" w:cs="Times New Roman"/>
          <w:b/>
          <w:bCs/>
          <w:sz w:val="24"/>
          <w:szCs w:val="24"/>
          <w:u w:val="single"/>
        </w:rPr>
      </w:pPr>
      <w:bookmarkStart w:id="1" w:name="_Toc171129233"/>
      <w:bookmarkStart w:id="2" w:name="_Toc171616138"/>
      <w:r w:rsidRPr="009D07D8">
        <w:rPr>
          <w:rFonts w:ascii="Times New Roman" w:hAnsi="Times New Roman" w:cs="Times New Roman"/>
          <w:b/>
          <w:bCs/>
          <w:sz w:val="24"/>
          <w:szCs w:val="24"/>
          <w:u w:val="single"/>
        </w:rPr>
        <w:t>CHAPTER FOUR (4)</w:t>
      </w:r>
      <w:bookmarkEnd w:id="1"/>
      <w:bookmarkEnd w:id="2"/>
    </w:p>
    <w:p w14:paraId="2185129E" w14:textId="39926854" w:rsidR="00E44FFB" w:rsidRPr="009D07D8" w:rsidRDefault="00532B3F" w:rsidP="001D4870">
      <w:pPr>
        <w:pStyle w:val="Heading2"/>
        <w:spacing w:line="360" w:lineRule="auto"/>
        <w:jc w:val="both"/>
        <w:rPr>
          <w:rFonts w:ascii="Times New Roman" w:hAnsi="Times New Roman" w:cs="Times New Roman"/>
          <w:b/>
          <w:bCs/>
          <w:sz w:val="24"/>
          <w:szCs w:val="24"/>
          <w:u w:val="single"/>
        </w:rPr>
      </w:pPr>
      <w:bookmarkStart w:id="3" w:name="_Toc171129234"/>
      <w:bookmarkStart w:id="4" w:name="_Toc171616139"/>
      <w:r w:rsidRPr="009D07D8">
        <w:rPr>
          <w:rFonts w:ascii="Times New Roman" w:hAnsi="Times New Roman" w:cs="Times New Roman"/>
          <w:b/>
          <w:bCs/>
          <w:sz w:val="24"/>
          <w:szCs w:val="24"/>
          <w:u w:val="single"/>
        </w:rPr>
        <w:t xml:space="preserve">4.0 </w:t>
      </w:r>
      <w:r w:rsidR="00E44FFB" w:rsidRPr="009D07D8">
        <w:rPr>
          <w:rFonts w:ascii="Times New Roman" w:hAnsi="Times New Roman" w:cs="Times New Roman"/>
          <w:b/>
          <w:bCs/>
          <w:sz w:val="24"/>
          <w:szCs w:val="24"/>
          <w:u w:val="single"/>
        </w:rPr>
        <w:t>RESULTS</w:t>
      </w:r>
      <w:bookmarkEnd w:id="3"/>
      <w:bookmarkEnd w:id="4"/>
    </w:p>
    <w:p w14:paraId="7F8F0004" w14:textId="410D01E2" w:rsidR="00532B3F" w:rsidRPr="009D07D8" w:rsidRDefault="00532B3F" w:rsidP="001D4870">
      <w:pPr>
        <w:pStyle w:val="Heading3"/>
        <w:spacing w:line="360" w:lineRule="auto"/>
        <w:rPr>
          <w:rFonts w:ascii="Times New Roman" w:hAnsi="Times New Roman" w:cs="Times New Roman"/>
        </w:rPr>
      </w:pPr>
      <w:bookmarkStart w:id="5" w:name="_Toc171129235"/>
      <w:bookmarkStart w:id="6" w:name="_Toc171616140"/>
      <w:r w:rsidRPr="009D07D8">
        <w:rPr>
          <w:rFonts w:ascii="Times New Roman" w:hAnsi="Times New Roman" w:cs="Times New Roman"/>
        </w:rPr>
        <w:t>4.1 Relative Abundance of Bacteria</w:t>
      </w:r>
      <w:bookmarkEnd w:id="5"/>
      <w:bookmarkEnd w:id="6"/>
    </w:p>
    <w:p w14:paraId="2D6A95C3" w14:textId="74E95575" w:rsidR="00532B3F" w:rsidRPr="009D07D8" w:rsidRDefault="00532B3F" w:rsidP="001D4870">
      <w:pPr>
        <w:pStyle w:val="Heading4"/>
        <w:spacing w:line="360" w:lineRule="auto"/>
        <w:jc w:val="both"/>
        <w:rPr>
          <w:rFonts w:ascii="Times New Roman" w:hAnsi="Times New Roman" w:cs="Times New Roman"/>
        </w:rPr>
      </w:pPr>
      <w:bookmarkStart w:id="7" w:name="_Toc171129236"/>
      <w:bookmarkStart w:id="8" w:name="_Toc171616141"/>
      <w:r w:rsidRPr="009D07D8">
        <w:rPr>
          <w:rFonts w:ascii="Times New Roman" w:hAnsi="Times New Roman" w:cs="Times New Roman"/>
        </w:rPr>
        <w:t>4.1.1 Abundance of bacteria in each hospital ward.</w:t>
      </w:r>
      <w:bookmarkEnd w:id="7"/>
      <w:bookmarkEnd w:id="8"/>
    </w:p>
    <w:p w14:paraId="5FAD8075" w14:textId="37F46437" w:rsidR="002A1F83" w:rsidRPr="009D07D8" w:rsidRDefault="00C9233F" w:rsidP="001D4870">
      <w:pPr>
        <w:spacing w:line="360" w:lineRule="auto"/>
      </w:pPr>
      <w:r w:rsidRPr="009D07D8">
        <w:t xml:space="preserve">The graph illustrates the relative abundance of various bacterial species in three different wards: the Children's Ward, the Neonatal Ward, and the Outpatient Department (OPD). In the Children's Ward, Pseudomonas </w:t>
      </w:r>
      <w:proofErr w:type="spellStart"/>
      <w:r w:rsidRPr="009D07D8">
        <w:t>Sp</w:t>
      </w:r>
      <w:proofErr w:type="spellEnd"/>
      <w:r w:rsidRPr="009D07D8">
        <w:t xml:space="preserve"> is the most prevalent bacterium with 13 occurrences, followed by Bacillus </w:t>
      </w:r>
      <w:proofErr w:type="spellStart"/>
      <w:r w:rsidRPr="009D07D8">
        <w:t>Sp</w:t>
      </w:r>
      <w:proofErr w:type="spellEnd"/>
      <w:r w:rsidRPr="009D07D8">
        <w:t xml:space="preserve"> with 9 occurrences. Staphylococcus and Enterobacter are minimally present with 1 occurrence each, while E. coli is absent. In the Neonatal Ward, Staphylococcus and Pseudomonas </w:t>
      </w:r>
      <w:proofErr w:type="spellStart"/>
      <w:r w:rsidRPr="009D07D8">
        <w:t>Sp</w:t>
      </w:r>
      <w:proofErr w:type="spellEnd"/>
      <w:r w:rsidRPr="009D07D8">
        <w:t xml:space="preserve"> are the most common, with 7 and 6 occurrences respectively. Enterobacter and E. coli are present in lower numbers, with 2 and 3 occurrences respectively, and Bacillus </w:t>
      </w:r>
      <w:proofErr w:type="spellStart"/>
      <w:r w:rsidRPr="009D07D8">
        <w:t>Sp</w:t>
      </w:r>
      <w:proofErr w:type="spellEnd"/>
      <w:r w:rsidRPr="009D07D8">
        <w:t xml:space="preserve"> is absent. In the Outpatient Department (OPD), Pseudomonas </w:t>
      </w:r>
      <w:proofErr w:type="spellStart"/>
      <w:r w:rsidRPr="009D07D8">
        <w:t>Sp</w:t>
      </w:r>
      <w:proofErr w:type="spellEnd"/>
      <w:r w:rsidRPr="009D07D8">
        <w:t xml:space="preserve"> and Bacillus </w:t>
      </w:r>
      <w:proofErr w:type="spellStart"/>
      <w:r w:rsidRPr="009D07D8">
        <w:t>Sp</w:t>
      </w:r>
      <w:proofErr w:type="spellEnd"/>
      <w:r w:rsidRPr="009D07D8">
        <w:t xml:space="preserve"> are present with 3 and 2 occurrences respectively, while Staphylococcus, Enterobacter, and E. coli are absent. This data highlights the variations in bacterial abundance across different wards, with Pseudomonas </w:t>
      </w:r>
      <w:proofErr w:type="spellStart"/>
      <w:r w:rsidRPr="009D07D8">
        <w:t>Sp</w:t>
      </w:r>
      <w:proofErr w:type="spellEnd"/>
      <w:r w:rsidRPr="009D07D8">
        <w:t xml:space="preserve"> being the most dominant bacterium overall, particularly in the Children's Ward.</w:t>
      </w:r>
    </w:p>
    <w:p w14:paraId="7641B525" w14:textId="1E25EA4A" w:rsidR="00532B3F" w:rsidRPr="009D07D8" w:rsidRDefault="00532B3F" w:rsidP="001D4870">
      <w:pPr>
        <w:spacing w:line="360" w:lineRule="auto"/>
      </w:pPr>
    </w:p>
    <w:p w14:paraId="574F5E07" w14:textId="77777777" w:rsidR="00B321D1" w:rsidRPr="009D07D8" w:rsidRDefault="00355005" w:rsidP="00B321D1">
      <w:pPr>
        <w:keepNext/>
        <w:spacing w:line="360" w:lineRule="auto"/>
      </w:pPr>
      <w:r w:rsidRPr="009D07D8">
        <w:rPr>
          <w:noProof/>
        </w:rPr>
        <w:lastRenderedPageBreak/>
        <w:drawing>
          <wp:inline distT="0" distB="0" distL="0" distR="0" wp14:anchorId="43B8DC11" wp14:editId="720E44C1">
            <wp:extent cx="5486400" cy="3200400"/>
            <wp:effectExtent l="0" t="0" r="0" b="0"/>
            <wp:docPr id="171761811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A424351" w14:textId="28AB74B3" w:rsidR="00B86BDE" w:rsidRPr="009D07D8" w:rsidRDefault="00B321D1" w:rsidP="00B321D1">
      <w:pPr>
        <w:pStyle w:val="Caption"/>
        <w:rPr>
          <w:sz w:val="24"/>
          <w:szCs w:val="24"/>
        </w:rPr>
      </w:pPr>
      <w:bookmarkStart w:id="9" w:name="_Toc171610204"/>
      <w:r w:rsidRPr="009D07D8">
        <w:rPr>
          <w:sz w:val="24"/>
          <w:szCs w:val="24"/>
        </w:rPr>
        <w:t xml:space="preserve">Figure </w:t>
      </w:r>
      <w:proofErr w:type="gramStart"/>
      <w:r w:rsidR="00700369" w:rsidRPr="009D07D8">
        <w:rPr>
          <w:sz w:val="24"/>
          <w:szCs w:val="24"/>
        </w:rPr>
        <w:t>1</w:t>
      </w:r>
      <w:r w:rsidRPr="009D07D8">
        <w:rPr>
          <w:sz w:val="24"/>
          <w:szCs w:val="24"/>
        </w:rPr>
        <w:t>:RELATIVE</w:t>
      </w:r>
      <w:proofErr w:type="gramEnd"/>
      <w:r w:rsidRPr="009D07D8">
        <w:rPr>
          <w:sz w:val="24"/>
          <w:szCs w:val="24"/>
        </w:rPr>
        <w:t xml:space="preserve"> ABUNANCE OF BACTERIA IN EACH OF THE WARDS</w:t>
      </w:r>
      <w:bookmarkEnd w:id="9"/>
    </w:p>
    <w:p w14:paraId="4790FCA5" w14:textId="77777777" w:rsidR="00355005" w:rsidRPr="009D07D8" w:rsidRDefault="00355005" w:rsidP="001D4870">
      <w:pPr>
        <w:spacing w:line="360" w:lineRule="auto"/>
      </w:pPr>
    </w:p>
    <w:p w14:paraId="75C52C32" w14:textId="283D70C7" w:rsidR="002A1F83" w:rsidRPr="009D07D8" w:rsidRDefault="00532B3F" w:rsidP="002A1F83">
      <w:pPr>
        <w:pStyle w:val="Heading4"/>
        <w:spacing w:line="360" w:lineRule="auto"/>
        <w:jc w:val="both"/>
        <w:rPr>
          <w:rFonts w:ascii="Times New Roman" w:hAnsi="Times New Roman" w:cs="Times New Roman"/>
        </w:rPr>
      </w:pPr>
      <w:bookmarkStart w:id="10" w:name="_Toc171129237"/>
      <w:bookmarkStart w:id="11" w:name="_Toc171616142"/>
      <w:r w:rsidRPr="009D07D8">
        <w:rPr>
          <w:rFonts w:ascii="Times New Roman" w:hAnsi="Times New Roman" w:cs="Times New Roman"/>
        </w:rPr>
        <w:t xml:space="preserve">4.1.2 Abundance of each </w:t>
      </w:r>
      <w:proofErr w:type="gramStart"/>
      <w:r w:rsidRPr="009D07D8">
        <w:rPr>
          <w:rFonts w:ascii="Times New Roman" w:hAnsi="Times New Roman" w:cs="Times New Roman"/>
        </w:rPr>
        <w:t>bacteria</w:t>
      </w:r>
      <w:proofErr w:type="gramEnd"/>
      <w:r w:rsidRPr="009D07D8">
        <w:rPr>
          <w:rFonts w:ascii="Times New Roman" w:hAnsi="Times New Roman" w:cs="Times New Roman"/>
        </w:rPr>
        <w:t xml:space="preserve"> in the hospital wards.</w:t>
      </w:r>
      <w:bookmarkEnd w:id="10"/>
      <w:bookmarkEnd w:id="11"/>
    </w:p>
    <w:p w14:paraId="17E77143" w14:textId="6331AD1B" w:rsidR="00532B3F" w:rsidRPr="009D07D8" w:rsidRDefault="0023504D" w:rsidP="001D4870">
      <w:pPr>
        <w:spacing w:line="360" w:lineRule="auto"/>
      </w:pPr>
      <w:r w:rsidRPr="009D07D8">
        <w:t xml:space="preserve">The graph illustrates the relative abundance of different bacterial species across the hospital wards, represented by the total number of occurrences for each species. The bacterial species included are Staphylococcus, Pseudomonas </w:t>
      </w:r>
      <w:proofErr w:type="spellStart"/>
      <w:r w:rsidRPr="009D07D8">
        <w:t>Sp</w:t>
      </w:r>
      <w:proofErr w:type="spellEnd"/>
      <w:r w:rsidRPr="009D07D8">
        <w:t xml:space="preserve">, Bacillus </w:t>
      </w:r>
      <w:proofErr w:type="spellStart"/>
      <w:r w:rsidRPr="009D07D8">
        <w:t>Sp</w:t>
      </w:r>
      <w:proofErr w:type="spellEnd"/>
      <w:r w:rsidRPr="009D07D8">
        <w:t xml:space="preserve">, Enterobacter </w:t>
      </w:r>
      <w:proofErr w:type="spellStart"/>
      <w:r w:rsidRPr="009D07D8">
        <w:t>Sp</w:t>
      </w:r>
      <w:proofErr w:type="spellEnd"/>
      <w:r w:rsidRPr="009D07D8">
        <w:t xml:space="preserve">, and E. coli. Among these, Pseudomonas </w:t>
      </w:r>
      <w:proofErr w:type="spellStart"/>
      <w:r w:rsidRPr="009D07D8">
        <w:t>Sp</w:t>
      </w:r>
      <w:proofErr w:type="spellEnd"/>
      <w:r w:rsidRPr="009D07D8">
        <w:t xml:space="preserve"> is the most prevalent bacterium, with a total of 22 occurrences. Bacillus </w:t>
      </w:r>
      <w:proofErr w:type="spellStart"/>
      <w:r w:rsidRPr="009D07D8">
        <w:t>Sp</w:t>
      </w:r>
      <w:proofErr w:type="spellEnd"/>
      <w:r w:rsidRPr="009D07D8">
        <w:t xml:space="preserve"> follows with 11 occurrences, while Staphylococcus is also relatively common with 8 occurrences. Enterobacter </w:t>
      </w:r>
      <w:proofErr w:type="spellStart"/>
      <w:r w:rsidRPr="009D07D8">
        <w:t>Sp</w:t>
      </w:r>
      <w:proofErr w:type="spellEnd"/>
      <w:r w:rsidRPr="009D07D8">
        <w:t xml:space="preserve"> and E. coli are the least abundant, each with 3 occurrences. This data highlights that Pseudomonas </w:t>
      </w:r>
      <w:proofErr w:type="spellStart"/>
      <w:r w:rsidRPr="009D07D8">
        <w:t>Sp</w:t>
      </w:r>
      <w:proofErr w:type="spellEnd"/>
      <w:r w:rsidRPr="009D07D8">
        <w:t xml:space="preserve"> is the most dominant bacterium in the hospital wards, significantly outnumbering the other bacterial species.</w:t>
      </w:r>
    </w:p>
    <w:p w14:paraId="7B462CAA" w14:textId="77777777" w:rsidR="00AE5AC1" w:rsidRPr="009D07D8" w:rsidRDefault="00B86BDE" w:rsidP="001D4870">
      <w:pPr>
        <w:keepNext/>
        <w:spacing w:line="360" w:lineRule="auto"/>
      </w:pPr>
      <w:r w:rsidRPr="009D07D8">
        <w:rPr>
          <w:noProof/>
        </w:rPr>
        <w:lastRenderedPageBreak/>
        <w:drawing>
          <wp:inline distT="0" distB="0" distL="0" distR="0" wp14:anchorId="2D85D6AD" wp14:editId="1E0DB99F">
            <wp:extent cx="5518298" cy="2966484"/>
            <wp:effectExtent l="0" t="0" r="6350" b="5715"/>
            <wp:docPr id="99285569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9EBED0" w14:textId="687EE78E" w:rsidR="00B86BDE" w:rsidRPr="009D07D8" w:rsidRDefault="00AE5AC1" w:rsidP="001D4870">
      <w:pPr>
        <w:pStyle w:val="Caption"/>
        <w:spacing w:line="360" w:lineRule="auto"/>
        <w:rPr>
          <w:sz w:val="24"/>
          <w:szCs w:val="24"/>
        </w:rPr>
      </w:pPr>
      <w:bookmarkStart w:id="12" w:name="_Toc171610205"/>
      <w:r w:rsidRPr="009D07D8">
        <w:rPr>
          <w:sz w:val="24"/>
          <w:szCs w:val="24"/>
        </w:rPr>
        <w:t xml:space="preserve">Figure </w:t>
      </w:r>
      <w:r w:rsidR="00700369" w:rsidRPr="009D07D8">
        <w:rPr>
          <w:sz w:val="24"/>
          <w:szCs w:val="24"/>
        </w:rPr>
        <w:t>2</w:t>
      </w:r>
      <w:r w:rsidRPr="009D07D8">
        <w:rPr>
          <w:sz w:val="24"/>
          <w:szCs w:val="24"/>
        </w:rPr>
        <w:t>: ABUNDANCE OF EACH BACTERIA IN THE HOSPITAL WARDS</w:t>
      </w:r>
      <w:bookmarkEnd w:id="12"/>
    </w:p>
    <w:p w14:paraId="61C60C55" w14:textId="77777777" w:rsidR="00296C3E" w:rsidRPr="009D07D8" w:rsidRDefault="00296C3E" w:rsidP="001D4870">
      <w:pPr>
        <w:spacing w:line="360" w:lineRule="auto"/>
      </w:pPr>
    </w:p>
    <w:p w14:paraId="3AF806FE" w14:textId="108D4CAC" w:rsidR="00532B3F" w:rsidRPr="009D07D8" w:rsidRDefault="00532B3F" w:rsidP="001D4870">
      <w:pPr>
        <w:pStyle w:val="Heading4"/>
        <w:spacing w:line="360" w:lineRule="auto"/>
        <w:jc w:val="both"/>
        <w:rPr>
          <w:rFonts w:ascii="Times New Roman" w:hAnsi="Times New Roman" w:cs="Times New Roman"/>
        </w:rPr>
      </w:pPr>
      <w:bookmarkStart w:id="13" w:name="_Toc171129238"/>
      <w:bookmarkStart w:id="14" w:name="_Toc171616143"/>
      <w:r w:rsidRPr="009D07D8">
        <w:rPr>
          <w:rFonts w:ascii="Times New Roman" w:hAnsi="Times New Roman" w:cs="Times New Roman"/>
        </w:rPr>
        <w:t>4.1.3 Total abundance of bacteria in the hospital wards.</w:t>
      </w:r>
      <w:bookmarkEnd w:id="13"/>
      <w:bookmarkEnd w:id="14"/>
    </w:p>
    <w:p w14:paraId="73981BAC" w14:textId="28C77D4D" w:rsidR="00532B3F" w:rsidRPr="009D07D8" w:rsidRDefault="0023504D" w:rsidP="001D4870">
      <w:pPr>
        <w:spacing w:line="360" w:lineRule="auto"/>
      </w:pPr>
      <w:r w:rsidRPr="009D07D8">
        <w:t>The graph depicts the abundance of bacteria in three different hospital wards: the Neonatal Ward, the Children's Ward, and the Outpatient Department (OPD). In the Children's Ward, the total number of bacterial occurrences is the highest, with 27 instances recorded. The Neonatal Ward follows with 15 occurrences, while the OPD has the least abundance of bacteria, with only 5 occurrences. This data highlights the variations in bacterial presence across different hospital wards, with the Children's Ward exhibiting the highest bacterial load.</w:t>
      </w:r>
    </w:p>
    <w:p w14:paraId="4E4B56D2" w14:textId="77777777" w:rsidR="00AE5AC1" w:rsidRPr="009D07D8" w:rsidRDefault="005B58E8" w:rsidP="001D4870">
      <w:pPr>
        <w:keepNext/>
        <w:spacing w:line="360" w:lineRule="auto"/>
      </w:pPr>
      <w:r w:rsidRPr="009D07D8">
        <w:rPr>
          <w:noProof/>
        </w:rPr>
        <w:lastRenderedPageBreak/>
        <w:drawing>
          <wp:inline distT="0" distB="0" distL="0" distR="0" wp14:anchorId="2F25EFED" wp14:editId="240C951B">
            <wp:extent cx="5486400" cy="3200400"/>
            <wp:effectExtent l="0" t="0" r="0" b="0"/>
            <wp:docPr id="92902528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512CC33" w14:textId="20043BD4" w:rsidR="00296C3E" w:rsidRPr="009D07D8" w:rsidRDefault="00AE5AC1" w:rsidP="001D4870">
      <w:pPr>
        <w:pStyle w:val="Caption"/>
        <w:spacing w:line="360" w:lineRule="auto"/>
        <w:rPr>
          <w:sz w:val="24"/>
          <w:szCs w:val="24"/>
        </w:rPr>
      </w:pPr>
      <w:bookmarkStart w:id="15" w:name="_Toc171610206"/>
      <w:r w:rsidRPr="009D07D8">
        <w:rPr>
          <w:sz w:val="24"/>
          <w:szCs w:val="24"/>
        </w:rPr>
        <w:t xml:space="preserve">Figure </w:t>
      </w:r>
      <w:r w:rsidR="00700369" w:rsidRPr="009D07D8">
        <w:rPr>
          <w:sz w:val="24"/>
          <w:szCs w:val="24"/>
        </w:rPr>
        <w:t>3</w:t>
      </w:r>
      <w:r w:rsidRPr="009D07D8">
        <w:rPr>
          <w:sz w:val="24"/>
          <w:szCs w:val="24"/>
        </w:rPr>
        <w:t>: ABUNDANCE OF BACTERIA IN THE HOSPITAL WARDS</w:t>
      </w:r>
      <w:bookmarkEnd w:id="15"/>
    </w:p>
    <w:p w14:paraId="4FDDCCAF" w14:textId="77777777" w:rsidR="00296C3E" w:rsidRPr="009D07D8" w:rsidRDefault="00296C3E" w:rsidP="001D4870">
      <w:pPr>
        <w:spacing w:line="360" w:lineRule="auto"/>
      </w:pPr>
    </w:p>
    <w:p w14:paraId="1CF543A8" w14:textId="29115D24" w:rsidR="0023504D" w:rsidRPr="009D07D8" w:rsidRDefault="0023504D" w:rsidP="009D07D8">
      <w:pPr>
        <w:pStyle w:val="Heading4"/>
        <w:rPr>
          <w:rFonts w:ascii="Times New Roman" w:hAnsi="Times New Roman" w:cs="Times New Roman"/>
        </w:rPr>
      </w:pPr>
      <w:bookmarkStart w:id="16" w:name="_Toc171616144"/>
      <w:r w:rsidRPr="009D07D8">
        <w:rPr>
          <w:rFonts w:ascii="Times New Roman" w:hAnsi="Times New Roman" w:cs="Times New Roman"/>
        </w:rPr>
        <w:t>4.1.4 Mean and ANOVA</w:t>
      </w:r>
      <w:bookmarkEnd w:id="16"/>
    </w:p>
    <w:p w14:paraId="1652F672" w14:textId="3C435FD1" w:rsidR="0023504D" w:rsidRPr="009D07D8" w:rsidRDefault="009D07D8" w:rsidP="009D07D8">
      <w:pPr>
        <w:spacing w:line="360" w:lineRule="auto"/>
      </w:pPr>
      <w:r w:rsidRPr="009D07D8">
        <w:t>The table provides the mean and standard deviation of bacterial occurrences for different hospital wards, offering a statistical summary of the data.</w:t>
      </w:r>
      <w:r w:rsidRPr="009D07D8">
        <w:t xml:space="preserve"> </w:t>
      </w:r>
      <w:r w:rsidRPr="009D07D8">
        <w:t>In the Children's Ward, the mean number of bacterial occurrences is 2.42 with a standard deviation of 0.654. This indicates that the bacterial counts are relatively consistent, with most values close to the mean.</w:t>
      </w:r>
      <w:r w:rsidRPr="009D07D8">
        <w:t xml:space="preserve"> </w:t>
      </w:r>
      <w:r w:rsidRPr="009D07D8">
        <w:t>The Neonatal Ward has a mean of 1.80 and a higher standard deviation of 1.014, suggesting more variability in bacterial occurrences compared to the Children's Ward.</w:t>
      </w:r>
      <w:r w:rsidRPr="009D07D8">
        <w:t xml:space="preserve"> </w:t>
      </w:r>
      <w:r w:rsidRPr="009D07D8">
        <w:t>For the OPD, the mean is 2.40 with a standard deviation of 0.548, indicating that the bacterial counts are quite consistent and similar to the Children's Ward.</w:t>
      </w:r>
      <w:r w:rsidRPr="009D07D8">
        <w:t xml:space="preserve"> </w:t>
      </w:r>
      <w:r w:rsidRPr="009D07D8">
        <w:t>Overall, the total mean across all wards is 2.20 with a standard deviation of 0.823. This aggregate data provides a general overview of bacterial occurrences across the hospital wards, highlighting the relatively consistent presence of bacteria with some variability, particularly in the Neonatal Ward.</w:t>
      </w:r>
    </w:p>
    <w:p w14:paraId="476FABA1" w14:textId="77777777" w:rsidR="0023504D" w:rsidRPr="0023504D" w:rsidRDefault="0023504D" w:rsidP="0023504D">
      <w:pPr>
        <w:autoSpaceDE w:val="0"/>
        <w:autoSpaceDN w:val="0"/>
        <w:adjustRightInd w:val="0"/>
        <w:spacing w:after="0" w:line="240" w:lineRule="auto"/>
        <w:rPr>
          <w:kern w:val="0"/>
          <w:lang w:val="en-US"/>
        </w:rPr>
      </w:pPr>
    </w:p>
    <w:p w14:paraId="50030102" w14:textId="6E4771D3" w:rsidR="009D07D8" w:rsidRPr="009D07D8" w:rsidRDefault="009D07D8" w:rsidP="009D07D8">
      <w:pPr>
        <w:pStyle w:val="Caption"/>
        <w:keepNext/>
        <w:rPr>
          <w:sz w:val="24"/>
          <w:szCs w:val="24"/>
        </w:rPr>
      </w:pPr>
      <w:r w:rsidRPr="009D07D8">
        <w:rPr>
          <w:sz w:val="24"/>
          <w:szCs w:val="24"/>
        </w:rPr>
        <w:t xml:space="preserve">Table </w:t>
      </w:r>
      <w:r w:rsidRPr="009D07D8">
        <w:rPr>
          <w:sz w:val="24"/>
          <w:szCs w:val="24"/>
        </w:rPr>
        <w:fldChar w:fldCharType="begin"/>
      </w:r>
      <w:r w:rsidRPr="009D07D8">
        <w:rPr>
          <w:sz w:val="24"/>
          <w:szCs w:val="24"/>
        </w:rPr>
        <w:instrText xml:space="preserve"> SEQ Table \* ARABIC </w:instrText>
      </w:r>
      <w:r w:rsidRPr="009D07D8">
        <w:rPr>
          <w:sz w:val="24"/>
          <w:szCs w:val="24"/>
        </w:rPr>
        <w:fldChar w:fldCharType="separate"/>
      </w:r>
      <w:r w:rsidRPr="009D07D8">
        <w:rPr>
          <w:noProof/>
          <w:sz w:val="24"/>
          <w:szCs w:val="24"/>
        </w:rPr>
        <w:t>1</w:t>
      </w:r>
      <w:r w:rsidRPr="009D07D8">
        <w:rPr>
          <w:sz w:val="24"/>
          <w:szCs w:val="24"/>
        </w:rPr>
        <w:fldChar w:fldCharType="end"/>
      </w:r>
      <w:r w:rsidRPr="009D07D8">
        <w:rPr>
          <w:sz w:val="24"/>
          <w:szCs w:val="24"/>
        </w:rPr>
        <w:t>: MEAN and STANDARD DEVIATION OF BACTERIAL COUNTS IN THE WARDS</w:t>
      </w:r>
    </w:p>
    <w:tbl>
      <w:tblPr>
        <w:tblW w:w="9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44"/>
        <w:gridCol w:w="2281"/>
        <w:gridCol w:w="3201"/>
      </w:tblGrid>
      <w:tr w:rsidR="0023504D" w:rsidRPr="0023504D" w14:paraId="0F3C07FD" w14:textId="77777777" w:rsidTr="009D07D8">
        <w:tblPrEx>
          <w:tblCellMar>
            <w:top w:w="0" w:type="dxa"/>
            <w:bottom w:w="0" w:type="dxa"/>
          </w:tblCellMar>
        </w:tblPrEx>
        <w:trPr>
          <w:cantSplit/>
          <w:trHeight w:val="361"/>
        </w:trPr>
        <w:tc>
          <w:tcPr>
            <w:tcW w:w="9126" w:type="dxa"/>
            <w:gridSpan w:val="3"/>
            <w:shd w:val="clear" w:color="auto" w:fill="FFFFFF"/>
            <w:vAlign w:val="center"/>
          </w:tcPr>
          <w:p w14:paraId="221809C8" w14:textId="0BDEDF65" w:rsidR="0023504D" w:rsidRPr="0023504D" w:rsidRDefault="009D07D8" w:rsidP="0023504D">
            <w:pPr>
              <w:autoSpaceDE w:val="0"/>
              <w:autoSpaceDN w:val="0"/>
              <w:adjustRightInd w:val="0"/>
              <w:spacing w:after="0" w:line="320" w:lineRule="atLeast"/>
              <w:ind w:left="60" w:right="60"/>
              <w:jc w:val="center"/>
              <w:rPr>
                <w:color w:val="010205"/>
                <w:kern w:val="0"/>
                <w:lang w:val="en-US"/>
              </w:rPr>
            </w:pPr>
            <w:r w:rsidRPr="009D07D8">
              <w:rPr>
                <w:b/>
                <w:bCs/>
                <w:color w:val="010205"/>
                <w:kern w:val="0"/>
                <w:lang w:val="en-US"/>
              </w:rPr>
              <w:t>MEAN and STANDARD DEVIATION</w:t>
            </w:r>
          </w:p>
        </w:tc>
      </w:tr>
      <w:tr w:rsidR="0023504D" w:rsidRPr="0023504D" w14:paraId="012D233A" w14:textId="77777777" w:rsidTr="009D07D8">
        <w:tblPrEx>
          <w:tblCellMar>
            <w:top w:w="0" w:type="dxa"/>
            <w:bottom w:w="0" w:type="dxa"/>
          </w:tblCellMar>
        </w:tblPrEx>
        <w:trPr>
          <w:cantSplit/>
          <w:trHeight w:val="340"/>
        </w:trPr>
        <w:tc>
          <w:tcPr>
            <w:tcW w:w="9126" w:type="dxa"/>
            <w:gridSpan w:val="3"/>
            <w:shd w:val="clear" w:color="auto" w:fill="FFFFFF"/>
            <w:vAlign w:val="bottom"/>
          </w:tcPr>
          <w:p w14:paraId="0D0B2F95" w14:textId="77777777" w:rsidR="0023504D" w:rsidRPr="0023504D" w:rsidRDefault="0023504D" w:rsidP="0023504D">
            <w:pPr>
              <w:autoSpaceDE w:val="0"/>
              <w:autoSpaceDN w:val="0"/>
              <w:adjustRightInd w:val="0"/>
              <w:spacing w:after="0" w:line="320" w:lineRule="atLeast"/>
              <w:rPr>
                <w:kern w:val="0"/>
                <w:lang w:val="en-US"/>
              </w:rPr>
            </w:pPr>
            <w:proofErr w:type="spellStart"/>
            <w:r w:rsidRPr="0023504D">
              <w:rPr>
                <w:color w:val="010205"/>
                <w:kern w:val="0"/>
                <w:shd w:val="clear" w:color="auto" w:fill="FFFFFF"/>
                <w:lang w:val="en-US"/>
              </w:rPr>
              <w:lastRenderedPageBreak/>
              <w:t>Possible_Organism</w:t>
            </w:r>
            <w:proofErr w:type="spellEnd"/>
            <w:r w:rsidRPr="0023504D">
              <w:rPr>
                <w:color w:val="010205"/>
                <w:kern w:val="0"/>
                <w:shd w:val="clear" w:color="auto" w:fill="FFFFFF"/>
                <w:lang w:val="en-US"/>
              </w:rPr>
              <w:t xml:space="preserve">  </w:t>
            </w:r>
          </w:p>
        </w:tc>
      </w:tr>
      <w:tr w:rsidR="0023504D" w:rsidRPr="0023504D" w14:paraId="60B3EFE3" w14:textId="77777777" w:rsidTr="009D07D8">
        <w:tblPrEx>
          <w:tblCellMar>
            <w:top w:w="0" w:type="dxa"/>
            <w:bottom w:w="0" w:type="dxa"/>
          </w:tblCellMar>
        </w:tblPrEx>
        <w:trPr>
          <w:cantSplit/>
          <w:trHeight w:val="361"/>
        </w:trPr>
        <w:tc>
          <w:tcPr>
            <w:tcW w:w="3644" w:type="dxa"/>
            <w:shd w:val="clear" w:color="auto" w:fill="FFFFFF"/>
            <w:vAlign w:val="bottom"/>
          </w:tcPr>
          <w:p w14:paraId="3BAD0F1C" w14:textId="77777777" w:rsidR="0023504D" w:rsidRPr="0023504D" w:rsidRDefault="0023504D" w:rsidP="0023504D">
            <w:pPr>
              <w:autoSpaceDE w:val="0"/>
              <w:autoSpaceDN w:val="0"/>
              <w:adjustRightInd w:val="0"/>
              <w:spacing w:after="0" w:line="320" w:lineRule="atLeast"/>
              <w:ind w:left="60" w:right="60"/>
              <w:rPr>
                <w:color w:val="264A60"/>
                <w:kern w:val="0"/>
                <w:lang w:val="en-US"/>
              </w:rPr>
            </w:pPr>
            <w:r w:rsidRPr="0023504D">
              <w:rPr>
                <w:color w:val="264A60"/>
                <w:kern w:val="0"/>
                <w:lang w:val="en-US"/>
              </w:rPr>
              <w:t>Ward</w:t>
            </w:r>
          </w:p>
        </w:tc>
        <w:tc>
          <w:tcPr>
            <w:tcW w:w="2281" w:type="dxa"/>
            <w:shd w:val="clear" w:color="auto" w:fill="FFFFFF"/>
            <w:vAlign w:val="bottom"/>
          </w:tcPr>
          <w:p w14:paraId="792970FF" w14:textId="77777777" w:rsidR="0023504D" w:rsidRPr="0023504D" w:rsidRDefault="0023504D" w:rsidP="0023504D">
            <w:pPr>
              <w:autoSpaceDE w:val="0"/>
              <w:autoSpaceDN w:val="0"/>
              <w:adjustRightInd w:val="0"/>
              <w:spacing w:after="0" w:line="320" w:lineRule="atLeast"/>
              <w:ind w:left="60" w:right="60"/>
              <w:jc w:val="center"/>
              <w:rPr>
                <w:color w:val="264A60"/>
                <w:kern w:val="0"/>
                <w:lang w:val="en-US"/>
              </w:rPr>
            </w:pPr>
            <w:r w:rsidRPr="0023504D">
              <w:rPr>
                <w:color w:val="264A60"/>
                <w:kern w:val="0"/>
                <w:lang w:val="en-US"/>
              </w:rPr>
              <w:t>Mean</w:t>
            </w:r>
          </w:p>
        </w:tc>
        <w:tc>
          <w:tcPr>
            <w:tcW w:w="3201" w:type="dxa"/>
            <w:shd w:val="clear" w:color="auto" w:fill="FFFFFF"/>
            <w:vAlign w:val="bottom"/>
          </w:tcPr>
          <w:p w14:paraId="45E0EB69" w14:textId="77777777" w:rsidR="0023504D" w:rsidRPr="0023504D" w:rsidRDefault="0023504D" w:rsidP="0023504D">
            <w:pPr>
              <w:autoSpaceDE w:val="0"/>
              <w:autoSpaceDN w:val="0"/>
              <w:adjustRightInd w:val="0"/>
              <w:spacing w:after="0" w:line="320" w:lineRule="atLeast"/>
              <w:ind w:left="60" w:right="60"/>
              <w:jc w:val="center"/>
              <w:rPr>
                <w:color w:val="264A60"/>
                <w:kern w:val="0"/>
                <w:lang w:val="en-US"/>
              </w:rPr>
            </w:pPr>
            <w:r w:rsidRPr="0023504D">
              <w:rPr>
                <w:color w:val="264A60"/>
                <w:kern w:val="0"/>
                <w:lang w:val="en-US"/>
              </w:rPr>
              <w:t>Std. Deviation</w:t>
            </w:r>
          </w:p>
        </w:tc>
      </w:tr>
      <w:tr w:rsidR="0023504D" w:rsidRPr="0023504D" w14:paraId="759A5F35" w14:textId="77777777" w:rsidTr="009D07D8">
        <w:tblPrEx>
          <w:tblCellMar>
            <w:top w:w="0" w:type="dxa"/>
            <w:bottom w:w="0" w:type="dxa"/>
          </w:tblCellMar>
        </w:tblPrEx>
        <w:trPr>
          <w:cantSplit/>
          <w:trHeight w:val="361"/>
        </w:trPr>
        <w:tc>
          <w:tcPr>
            <w:tcW w:w="3644" w:type="dxa"/>
            <w:shd w:val="clear" w:color="auto" w:fill="E0E0E0"/>
          </w:tcPr>
          <w:p w14:paraId="7206C203" w14:textId="77777777" w:rsidR="0023504D" w:rsidRPr="0023504D" w:rsidRDefault="0023504D" w:rsidP="0023504D">
            <w:pPr>
              <w:autoSpaceDE w:val="0"/>
              <w:autoSpaceDN w:val="0"/>
              <w:adjustRightInd w:val="0"/>
              <w:spacing w:after="0" w:line="320" w:lineRule="atLeast"/>
              <w:ind w:left="60" w:right="60"/>
              <w:rPr>
                <w:color w:val="264A60"/>
                <w:kern w:val="0"/>
                <w:lang w:val="en-US"/>
              </w:rPr>
            </w:pPr>
            <w:r w:rsidRPr="0023504D">
              <w:rPr>
                <w:color w:val="264A60"/>
                <w:kern w:val="0"/>
                <w:lang w:val="en-US"/>
              </w:rPr>
              <w:t>Children's Ward</w:t>
            </w:r>
          </w:p>
        </w:tc>
        <w:tc>
          <w:tcPr>
            <w:tcW w:w="2281" w:type="dxa"/>
            <w:shd w:val="clear" w:color="auto" w:fill="F9F9FB"/>
          </w:tcPr>
          <w:p w14:paraId="084DD22C"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2.42</w:t>
            </w:r>
          </w:p>
        </w:tc>
        <w:tc>
          <w:tcPr>
            <w:tcW w:w="3201" w:type="dxa"/>
            <w:shd w:val="clear" w:color="auto" w:fill="F9F9FB"/>
          </w:tcPr>
          <w:p w14:paraId="2C8496CF"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.654</w:t>
            </w:r>
          </w:p>
        </w:tc>
      </w:tr>
      <w:tr w:rsidR="0023504D" w:rsidRPr="0023504D" w14:paraId="03881975" w14:textId="77777777" w:rsidTr="009D07D8">
        <w:tblPrEx>
          <w:tblCellMar>
            <w:top w:w="0" w:type="dxa"/>
            <w:bottom w:w="0" w:type="dxa"/>
          </w:tblCellMar>
        </w:tblPrEx>
        <w:trPr>
          <w:cantSplit/>
          <w:trHeight w:val="361"/>
        </w:trPr>
        <w:tc>
          <w:tcPr>
            <w:tcW w:w="3644" w:type="dxa"/>
            <w:shd w:val="clear" w:color="auto" w:fill="E0E0E0"/>
          </w:tcPr>
          <w:p w14:paraId="3E43768E" w14:textId="77777777" w:rsidR="0023504D" w:rsidRPr="0023504D" w:rsidRDefault="0023504D" w:rsidP="0023504D">
            <w:pPr>
              <w:autoSpaceDE w:val="0"/>
              <w:autoSpaceDN w:val="0"/>
              <w:adjustRightInd w:val="0"/>
              <w:spacing w:after="0" w:line="320" w:lineRule="atLeast"/>
              <w:ind w:left="60" w:right="60"/>
              <w:rPr>
                <w:color w:val="264A60"/>
                <w:kern w:val="0"/>
                <w:lang w:val="en-US"/>
              </w:rPr>
            </w:pPr>
            <w:r w:rsidRPr="0023504D">
              <w:rPr>
                <w:color w:val="264A60"/>
                <w:kern w:val="0"/>
                <w:lang w:val="en-US"/>
              </w:rPr>
              <w:t>Neonatal</w:t>
            </w:r>
          </w:p>
        </w:tc>
        <w:tc>
          <w:tcPr>
            <w:tcW w:w="2281" w:type="dxa"/>
            <w:shd w:val="clear" w:color="auto" w:fill="F9F9FB"/>
          </w:tcPr>
          <w:p w14:paraId="3D27FAA1"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1.80</w:t>
            </w:r>
          </w:p>
        </w:tc>
        <w:tc>
          <w:tcPr>
            <w:tcW w:w="3201" w:type="dxa"/>
            <w:shd w:val="clear" w:color="auto" w:fill="F9F9FB"/>
          </w:tcPr>
          <w:p w14:paraId="41C6D28C"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1.014</w:t>
            </w:r>
          </w:p>
        </w:tc>
      </w:tr>
      <w:tr w:rsidR="0023504D" w:rsidRPr="0023504D" w14:paraId="6EB48001" w14:textId="77777777" w:rsidTr="009D07D8">
        <w:tblPrEx>
          <w:tblCellMar>
            <w:top w:w="0" w:type="dxa"/>
            <w:bottom w:w="0" w:type="dxa"/>
          </w:tblCellMar>
        </w:tblPrEx>
        <w:trPr>
          <w:cantSplit/>
          <w:trHeight w:val="340"/>
        </w:trPr>
        <w:tc>
          <w:tcPr>
            <w:tcW w:w="3644" w:type="dxa"/>
            <w:shd w:val="clear" w:color="auto" w:fill="E0E0E0"/>
          </w:tcPr>
          <w:p w14:paraId="174553C1" w14:textId="77777777" w:rsidR="0023504D" w:rsidRPr="0023504D" w:rsidRDefault="0023504D" w:rsidP="0023504D">
            <w:pPr>
              <w:autoSpaceDE w:val="0"/>
              <w:autoSpaceDN w:val="0"/>
              <w:adjustRightInd w:val="0"/>
              <w:spacing w:after="0" w:line="320" w:lineRule="atLeast"/>
              <w:ind w:left="60" w:right="60"/>
              <w:rPr>
                <w:color w:val="264A60"/>
                <w:kern w:val="0"/>
                <w:lang w:val="en-US"/>
              </w:rPr>
            </w:pPr>
            <w:r w:rsidRPr="0023504D">
              <w:rPr>
                <w:color w:val="264A60"/>
                <w:kern w:val="0"/>
                <w:lang w:val="en-US"/>
              </w:rPr>
              <w:t>OPD</w:t>
            </w:r>
          </w:p>
        </w:tc>
        <w:tc>
          <w:tcPr>
            <w:tcW w:w="2281" w:type="dxa"/>
            <w:shd w:val="clear" w:color="auto" w:fill="F9F9FB"/>
          </w:tcPr>
          <w:p w14:paraId="59AADA12"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2.40</w:t>
            </w:r>
          </w:p>
        </w:tc>
        <w:tc>
          <w:tcPr>
            <w:tcW w:w="3201" w:type="dxa"/>
            <w:shd w:val="clear" w:color="auto" w:fill="F9F9FB"/>
          </w:tcPr>
          <w:p w14:paraId="0A7CBEE8"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.548</w:t>
            </w:r>
          </w:p>
        </w:tc>
      </w:tr>
      <w:tr w:rsidR="0023504D" w:rsidRPr="0023504D" w14:paraId="30614527" w14:textId="77777777" w:rsidTr="009D07D8">
        <w:tblPrEx>
          <w:tblCellMar>
            <w:top w:w="0" w:type="dxa"/>
            <w:bottom w:w="0" w:type="dxa"/>
          </w:tblCellMar>
        </w:tblPrEx>
        <w:trPr>
          <w:cantSplit/>
          <w:trHeight w:val="361"/>
        </w:trPr>
        <w:tc>
          <w:tcPr>
            <w:tcW w:w="3644" w:type="dxa"/>
            <w:shd w:val="clear" w:color="auto" w:fill="E0E0E0"/>
          </w:tcPr>
          <w:p w14:paraId="1D9F8945" w14:textId="77777777" w:rsidR="0023504D" w:rsidRPr="0023504D" w:rsidRDefault="0023504D" w:rsidP="0023504D">
            <w:pPr>
              <w:autoSpaceDE w:val="0"/>
              <w:autoSpaceDN w:val="0"/>
              <w:adjustRightInd w:val="0"/>
              <w:spacing w:after="0" w:line="320" w:lineRule="atLeast"/>
              <w:ind w:left="60" w:right="60"/>
              <w:rPr>
                <w:color w:val="264A60"/>
                <w:kern w:val="0"/>
                <w:lang w:val="en-US"/>
              </w:rPr>
            </w:pPr>
            <w:r w:rsidRPr="0023504D">
              <w:rPr>
                <w:color w:val="264A60"/>
                <w:kern w:val="0"/>
                <w:lang w:val="en-US"/>
              </w:rPr>
              <w:t>Total</w:t>
            </w:r>
          </w:p>
        </w:tc>
        <w:tc>
          <w:tcPr>
            <w:tcW w:w="2281" w:type="dxa"/>
            <w:shd w:val="clear" w:color="auto" w:fill="F9F9FB"/>
          </w:tcPr>
          <w:p w14:paraId="0C61ECEB"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2.20</w:t>
            </w:r>
          </w:p>
        </w:tc>
        <w:tc>
          <w:tcPr>
            <w:tcW w:w="3201" w:type="dxa"/>
            <w:shd w:val="clear" w:color="auto" w:fill="F9F9FB"/>
          </w:tcPr>
          <w:p w14:paraId="23CAA679"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.823</w:t>
            </w:r>
          </w:p>
        </w:tc>
      </w:tr>
    </w:tbl>
    <w:p w14:paraId="1EA6B0CD" w14:textId="77777777" w:rsidR="0023504D" w:rsidRPr="0023504D" w:rsidRDefault="0023504D" w:rsidP="0023504D">
      <w:pPr>
        <w:autoSpaceDE w:val="0"/>
        <w:autoSpaceDN w:val="0"/>
        <w:adjustRightInd w:val="0"/>
        <w:spacing w:after="0" w:line="400" w:lineRule="atLeast"/>
        <w:rPr>
          <w:kern w:val="0"/>
          <w:lang w:val="en-US"/>
        </w:rPr>
      </w:pPr>
    </w:p>
    <w:p w14:paraId="7BD974D2" w14:textId="1B9627FB" w:rsidR="0023504D" w:rsidRPr="009D07D8" w:rsidRDefault="009D07D8" w:rsidP="0023504D">
      <w:pPr>
        <w:autoSpaceDE w:val="0"/>
        <w:autoSpaceDN w:val="0"/>
        <w:adjustRightInd w:val="0"/>
        <w:spacing w:after="0" w:line="400" w:lineRule="atLeast"/>
        <w:rPr>
          <w:kern w:val="0"/>
          <w:lang w:val="en-US"/>
        </w:rPr>
      </w:pPr>
      <w:r w:rsidRPr="009D07D8">
        <w:rPr>
          <w:kern w:val="0"/>
          <w:lang w:val="en-US"/>
        </w:rPr>
        <w:t>The ANOVA table provides a statistical analysis to determine if there are significant differences in the mean bacterial occurrences between the different hospital wards. The results indicate that the variation between the groups, represented by a sum of squares of 3.726 and a mean square of 1.863, yields an F-value of 3.003 with a significance level (p-value) of 0.061. This suggests that the differences in bacterial occurrences between the wards are not statistically significant at the 0.05 level, as the p-value is slightly above the threshold. The linearity component, with a sum of squares of 0.814 and a mean square of 0.814, results in an F-value of 1.312 and a p-value of 0.259, indicating that the linear relationship between the wards and bacterial occurrences is not statistically significant. However, the deviation from linearity, which has a sum of squares of 2.912, a mean square of 2.912, an F-value of 4.694, and a p-value of 0.036, is statistically significant, suggesting that the relationship between the wards and bacterial occurrences is not perfectly linear. The within-groups variation, with a sum of squares of 25.433 and a mean square of 0.620, represents the variability within each ward. The total sum of squares, combining both between-group and within-group variations, is 29.159 with 43 degrees of freedom. In summary, the ANOVA results suggest that while there is some indication of differences in bacterial occurrences between the different wards, the overall difference is not statistically significant at the 0.05 level. However, the significant deviation from linearity indicates that the relationship between the wards and bacterial occurrences is complex and not strictly linear.</w:t>
      </w:r>
    </w:p>
    <w:p w14:paraId="12BD3FE5" w14:textId="77777777" w:rsidR="009D07D8" w:rsidRPr="0023504D" w:rsidRDefault="009D07D8" w:rsidP="0023504D">
      <w:pPr>
        <w:autoSpaceDE w:val="0"/>
        <w:autoSpaceDN w:val="0"/>
        <w:adjustRightInd w:val="0"/>
        <w:spacing w:after="0" w:line="400" w:lineRule="atLeast"/>
        <w:rPr>
          <w:kern w:val="0"/>
          <w:lang w:val="en-US"/>
        </w:rPr>
      </w:pPr>
    </w:p>
    <w:p w14:paraId="775F3A40" w14:textId="0CEFAACF" w:rsidR="009D07D8" w:rsidRPr="009D07D8" w:rsidRDefault="009D07D8" w:rsidP="009D07D8">
      <w:pPr>
        <w:pStyle w:val="Caption"/>
        <w:keepNext/>
        <w:rPr>
          <w:sz w:val="24"/>
          <w:szCs w:val="24"/>
        </w:rPr>
      </w:pPr>
      <w:r w:rsidRPr="009D07D8">
        <w:rPr>
          <w:sz w:val="24"/>
          <w:szCs w:val="24"/>
        </w:rPr>
        <w:t xml:space="preserve">Table </w:t>
      </w:r>
      <w:r w:rsidRPr="009D07D8">
        <w:rPr>
          <w:sz w:val="24"/>
          <w:szCs w:val="24"/>
        </w:rPr>
        <w:fldChar w:fldCharType="begin"/>
      </w:r>
      <w:r w:rsidRPr="009D07D8">
        <w:rPr>
          <w:sz w:val="24"/>
          <w:szCs w:val="24"/>
        </w:rPr>
        <w:instrText xml:space="preserve"> SEQ Table \* ARABIC </w:instrText>
      </w:r>
      <w:r w:rsidRPr="009D07D8">
        <w:rPr>
          <w:sz w:val="24"/>
          <w:szCs w:val="24"/>
        </w:rPr>
        <w:fldChar w:fldCharType="separate"/>
      </w:r>
      <w:r w:rsidRPr="009D07D8">
        <w:rPr>
          <w:noProof/>
          <w:sz w:val="24"/>
          <w:szCs w:val="24"/>
        </w:rPr>
        <w:t>2</w:t>
      </w:r>
      <w:r w:rsidRPr="009D07D8">
        <w:rPr>
          <w:sz w:val="24"/>
          <w:szCs w:val="24"/>
        </w:rPr>
        <w:fldChar w:fldCharType="end"/>
      </w:r>
      <w:r w:rsidRPr="009D07D8">
        <w:rPr>
          <w:sz w:val="24"/>
          <w:szCs w:val="24"/>
        </w:rPr>
        <w:t>: ANOVA TABLE</w:t>
      </w:r>
    </w:p>
    <w:tbl>
      <w:tblPr>
        <w:tblW w:w="10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98"/>
        <w:gridCol w:w="1386"/>
        <w:gridCol w:w="1837"/>
        <w:gridCol w:w="1199"/>
        <w:gridCol w:w="836"/>
        <w:gridCol w:w="1148"/>
        <w:gridCol w:w="836"/>
        <w:gridCol w:w="839"/>
      </w:tblGrid>
      <w:tr w:rsidR="0023504D" w:rsidRPr="0023504D" w14:paraId="68FE7984" w14:textId="77777777" w:rsidTr="009D07D8">
        <w:tblPrEx>
          <w:tblCellMar>
            <w:top w:w="0" w:type="dxa"/>
            <w:bottom w:w="0" w:type="dxa"/>
          </w:tblCellMar>
        </w:tblPrEx>
        <w:trPr>
          <w:cantSplit/>
          <w:trHeight w:val="335"/>
        </w:trPr>
        <w:tc>
          <w:tcPr>
            <w:tcW w:w="10079" w:type="dxa"/>
            <w:gridSpan w:val="8"/>
            <w:shd w:val="clear" w:color="auto" w:fill="FFFFFF"/>
            <w:vAlign w:val="center"/>
          </w:tcPr>
          <w:p w14:paraId="6063A003" w14:textId="77777777" w:rsidR="0023504D" w:rsidRPr="0023504D" w:rsidRDefault="0023504D" w:rsidP="0023504D">
            <w:pPr>
              <w:autoSpaceDE w:val="0"/>
              <w:autoSpaceDN w:val="0"/>
              <w:adjustRightInd w:val="0"/>
              <w:spacing w:after="0" w:line="320" w:lineRule="atLeast"/>
              <w:ind w:left="60" w:right="60"/>
              <w:jc w:val="center"/>
              <w:rPr>
                <w:color w:val="010205"/>
                <w:kern w:val="0"/>
                <w:lang w:val="en-US"/>
              </w:rPr>
            </w:pPr>
            <w:r w:rsidRPr="0023504D">
              <w:rPr>
                <w:b/>
                <w:bCs/>
                <w:color w:val="010205"/>
                <w:kern w:val="0"/>
                <w:lang w:val="en-US"/>
              </w:rPr>
              <w:t>ANOVA Table</w:t>
            </w:r>
          </w:p>
        </w:tc>
      </w:tr>
      <w:tr w:rsidR="009D07D8" w:rsidRPr="009D07D8" w14:paraId="51BBC9C0" w14:textId="77777777" w:rsidTr="009D07D8">
        <w:tblPrEx>
          <w:tblCellMar>
            <w:top w:w="0" w:type="dxa"/>
            <w:bottom w:w="0" w:type="dxa"/>
          </w:tblCellMar>
        </w:tblPrEx>
        <w:trPr>
          <w:cantSplit/>
          <w:trHeight w:val="317"/>
        </w:trPr>
        <w:tc>
          <w:tcPr>
            <w:tcW w:w="5221" w:type="dxa"/>
            <w:gridSpan w:val="3"/>
            <w:shd w:val="clear" w:color="auto" w:fill="FFFFFF"/>
            <w:vAlign w:val="bottom"/>
          </w:tcPr>
          <w:p w14:paraId="0588A269" w14:textId="77777777" w:rsidR="0023504D" w:rsidRPr="0023504D" w:rsidRDefault="0023504D" w:rsidP="0023504D">
            <w:pPr>
              <w:autoSpaceDE w:val="0"/>
              <w:autoSpaceDN w:val="0"/>
              <w:adjustRightInd w:val="0"/>
              <w:spacing w:after="0" w:line="240" w:lineRule="auto"/>
              <w:rPr>
                <w:kern w:val="0"/>
                <w:lang w:val="en-US"/>
              </w:rPr>
            </w:pPr>
          </w:p>
        </w:tc>
        <w:tc>
          <w:tcPr>
            <w:tcW w:w="1199" w:type="dxa"/>
            <w:shd w:val="clear" w:color="auto" w:fill="FFFFFF"/>
            <w:vAlign w:val="bottom"/>
          </w:tcPr>
          <w:p w14:paraId="65CB475F" w14:textId="77777777" w:rsidR="0023504D" w:rsidRPr="0023504D" w:rsidRDefault="0023504D" w:rsidP="0023504D">
            <w:pPr>
              <w:autoSpaceDE w:val="0"/>
              <w:autoSpaceDN w:val="0"/>
              <w:adjustRightInd w:val="0"/>
              <w:spacing w:after="0" w:line="320" w:lineRule="atLeast"/>
              <w:ind w:left="60" w:right="60"/>
              <w:jc w:val="center"/>
              <w:rPr>
                <w:color w:val="264A60"/>
                <w:kern w:val="0"/>
                <w:lang w:val="en-US"/>
              </w:rPr>
            </w:pPr>
            <w:r w:rsidRPr="0023504D">
              <w:rPr>
                <w:color w:val="264A60"/>
                <w:kern w:val="0"/>
                <w:lang w:val="en-US"/>
              </w:rPr>
              <w:t>Sum of Squares</w:t>
            </w:r>
          </w:p>
        </w:tc>
        <w:tc>
          <w:tcPr>
            <w:tcW w:w="836" w:type="dxa"/>
            <w:shd w:val="clear" w:color="auto" w:fill="FFFFFF"/>
            <w:vAlign w:val="bottom"/>
          </w:tcPr>
          <w:p w14:paraId="427DEE50" w14:textId="77777777" w:rsidR="0023504D" w:rsidRPr="0023504D" w:rsidRDefault="0023504D" w:rsidP="0023504D">
            <w:pPr>
              <w:autoSpaceDE w:val="0"/>
              <w:autoSpaceDN w:val="0"/>
              <w:adjustRightInd w:val="0"/>
              <w:spacing w:after="0" w:line="320" w:lineRule="atLeast"/>
              <w:ind w:left="60" w:right="60"/>
              <w:jc w:val="center"/>
              <w:rPr>
                <w:color w:val="264A60"/>
                <w:kern w:val="0"/>
                <w:lang w:val="en-US"/>
              </w:rPr>
            </w:pPr>
            <w:proofErr w:type="spellStart"/>
            <w:r w:rsidRPr="0023504D">
              <w:rPr>
                <w:color w:val="264A60"/>
                <w:kern w:val="0"/>
                <w:lang w:val="en-US"/>
              </w:rPr>
              <w:t>df</w:t>
            </w:r>
            <w:proofErr w:type="spellEnd"/>
          </w:p>
        </w:tc>
        <w:tc>
          <w:tcPr>
            <w:tcW w:w="1148" w:type="dxa"/>
            <w:shd w:val="clear" w:color="auto" w:fill="FFFFFF"/>
            <w:vAlign w:val="bottom"/>
          </w:tcPr>
          <w:p w14:paraId="742C54FE" w14:textId="77777777" w:rsidR="0023504D" w:rsidRPr="0023504D" w:rsidRDefault="0023504D" w:rsidP="0023504D">
            <w:pPr>
              <w:autoSpaceDE w:val="0"/>
              <w:autoSpaceDN w:val="0"/>
              <w:adjustRightInd w:val="0"/>
              <w:spacing w:after="0" w:line="320" w:lineRule="atLeast"/>
              <w:ind w:left="60" w:right="60"/>
              <w:jc w:val="center"/>
              <w:rPr>
                <w:color w:val="264A60"/>
                <w:kern w:val="0"/>
                <w:lang w:val="en-US"/>
              </w:rPr>
            </w:pPr>
            <w:r w:rsidRPr="0023504D">
              <w:rPr>
                <w:color w:val="264A60"/>
                <w:kern w:val="0"/>
                <w:lang w:val="en-US"/>
              </w:rPr>
              <w:t>Mean Square</w:t>
            </w:r>
          </w:p>
        </w:tc>
        <w:tc>
          <w:tcPr>
            <w:tcW w:w="836" w:type="dxa"/>
            <w:shd w:val="clear" w:color="auto" w:fill="FFFFFF"/>
            <w:vAlign w:val="bottom"/>
          </w:tcPr>
          <w:p w14:paraId="63C57D9F" w14:textId="77777777" w:rsidR="0023504D" w:rsidRPr="0023504D" w:rsidRDefault="0023504D" w:rsidP="0023504D">
            <w:pPr>
              <w:autoSpaceDE w:val="0"/>
              <w:autoSpaceDN w:val="0"/>
              <w:adjustRightInd w:val="0"/>
              <w:spacing w:after="0" w:line="320" w:lineRule="atLeast"/>
              <w:ind w:left="60" w:right="60"/>
              <w:jc w:val="center"/>
              <w:rPr>
                <w:color w:val="264A60"/>
                <w:kern w:val="0"/>
                <w:lang w:val="en-US"/>
              </w:rPr>
            </w:pPr>
            <w:r w:rsidRPr="0023504D">
              <w:rPr>
                <w:color w:val="264A60"/>
                <w:kern w:val="0"/>
                <w:lang w:val="en-US"/>
              </w:rPr>
              <w:t>F</w:t>
            </w:r>
          </w:p>
        </w:tc>
        <w:tc>
          <w:tcPr>
            <w:tcW w:w="839" w:type="dxa"/>
            <w:shd w:val="clear" w:color="auto" w:fill="FFFFFF"/>
            <w:vAlign w:val="bottom"/>
          </w:tcPr>
          <w:p w14:paraId="2A712597" w14:textId="77777777" w:rsidR="0023504D" w:rsidRPr="0023504D" w:rsidRDefault="0023504D" w:rsidP="0023504D">
            <w:pPr>
              <w:autoSpaceDE w:val="0"/>
              <w:autoSpaceDN w:val="0"/>
              <w:adjustRightInd w:val="0"/>
              <w:spacing w:after="0" w:line="320" w:lineRule="atLeast"/>
              <w:ind w:left="60" w:right="60"/>
              <w:jc w:val="center"/>
              <w:rPr>
                <w:color w:val="264A60"/>
                <w:kern w:val="0"/>
                <w:lang w:val="en-US"/>
              </w:rPr>
            </w:pPr>
            <w:r w:rsidRPr="0023504D">
              <w:rPr>
                <w:color w:val="264A60"/>
                <w:kern w:val="0"/>
                <w:lang w:val="en-US"/>
              </w:rPr>
              <w:t>Sig.</w:t>
            </w:r>
          </w:p>
        </w:tc>
      </w:tr>
      <w:tr w:rsidR="009D07D8" w:rsidRPr="009D07D8" w14:paraId="076D8A24" w14:textId="77777777" w:rsidTr="009D07D8">
        <w:tblPrEx>
          <w:tblCellMar>
            <w:top w:w="0" w:type="dxa"/>
            <w:bottom w:w="0" w:type="dxa"/>
          </w:tblCellMar>
        </w:tblPrEx>
        <w:trPr>
          <w:cantSplit/>
          <w:trHeight w:val="335"/>
        </w:trPr>
        <w:tc>
          <w:tcPr>
            <w:tcW w:w="1998" w:type="dxa"/>
            <w:vMerge w:val="restart"/>
            <w:shd w:val="clear" w:color="auto" w:fill="E0E0E0"/>
          </w:tcPr>
          <w:p w14:paraId="2C37B7EC" w14:textId="77777777" w:rsidR="0023504D" w:rsidRPr="0023504D" w:rsidRDefault="0023504D" w:rsidP="0023504D">
            <w:pPr>
              <w:autoSpaceDE w:val="0"/>
              <w:autoSpaceDN w:val="0"/>
              <w:adjustRightInd w:val="0"/>
              <w:spacing w:after="0" w:line="320" w:lineRule="atLeast"/>
              <w:ind w:left="60" w:right="60"/>
              <w:rPr>
                <w:color w:val="264A60"/>
                <w:kern w:val="0"/>
                <w:lang w:val="en-US"/>
              </w:rPr>
            </w:pPr>
            <w:proofErr w:type="spellStart"/>
            <w:r w:rsidRPr="0023504D">
              <w:rPr>
                <w:color w:val="264A60"/>
                <w:kern w:val="0"/>
                <w:lang w:val="en-US"/>
              </w:rPr>
              <w:t>Possible_Organism</w:t>
            </w:r>
            <w:proofErr w:type="spellEnd"/>
            <w:r w:rsidRPr="0023504D">
              <w:rPr>
                <w:color w:val="264A60"/>
                <w:kern w:val="0"/>
                <w:lang w:val="en-US"/>
              </w:rPr>
              <w:t xml:space="preserve"> * Ward</w:t>
            </w:r>
          </w:p>
        </w:tc>
        <w:tc>
          <w:tcPr>
            <w:tcW w:w="1386" w:type="dxa"/>
            <w:vMerge w:val="restart"/>
            <w:shd w:val="clear" w:color="auto" w:fill="E0E0E0"/>
          </w:tcPr>
          <w:p w14:paraId="7097A529" w14:textId="77777777" w:rsidR="0023504D" w:rsidRPr="0023504D" w:rsidRDefault="0023504D" w:rsidP="0023504D">
            <w:pPr>
              <w:autoSpaceDE w:val="0"/>
              <w:autoSpaceDN w:val="0"/>
              <w:adjustRightInd w:val="0"/>
              <w:spacing w:after="0" w:line="320" w:lineRule="atLeast"/>
              <w:ind w:left="60" w:right="60"/>
              <w:rPr>
                <w:color w:val="264A60"/>
                <w:kern w:val="0"/>
                <w:lang w:val="en-US"/>
              </w:rPr>
            </w:pPr>
            <w:r w:rsidRPr="0023504D">
              <w:rPr>
                <w:color w:val="264A60"/>
                <w:kern w:val="0"/>
                <w:lang w:val="en-US"/>
              </w:rPr>
              <w:t>Between Groups</w:t>
            </w:r>
          </w:p>
        </w:tc>
        <w:tc>
          <w:tcPr>
            <w:tcW w:w="1837" w:type="dxa"/>
            <w:shd w:val="clear" w:color="auto" w:fill="E0E0E0"/>
          </w:tcPr>
          <w:p w14:paraId="04A7FA3A" w14:textId="77777777" w:rsidR="0023504D" w:rsidRPr="0023504D" w:rsidRDefault="0023504D" w:rsidP="0023504D">
            <w:pPr>
              <w:autoSpaceDE w:val="0"/>
              <w:autoSpaceDN w:val="0"/>
              <w:adjustRightInd w:val="0"/>
              <w:spacing w:after="0" w:line="320" w:lineRule="atLeast"/>
              <w:ind w:left="60" w:right="60"/>
              <w:rPr>
                <w:color w:val="264A60"/>
                <w:kern w:val="0"/>
                <w:lang w:val="en-US"/>
              </w:rPr>
            </w:pPr>
            <w:r w:rsidRPr="0023504D">
              <w:rPr>
                <w:color w:val="264A60"/>
                <w:kern w:val="0"/>
                <w:lang w:val="en-US"/>
              </w:rPr>
              <w:t>(Combined)</w:t>
            </w:r>
          </w:p>
        </w:tc>
        <w:tc>
          <w:tcPr>
            <w:tcW w:w="1199" w:type="dxa"/>
            <w:shd w:val="clear" w:color="auto" w:fill="F9F9FB"/>
          </w:tcPr>
          <w:p w14:paraId="3B373EF0"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3.726</w:t>
            </w:r>
          </w:p>
        </w:tc>
        <w:tc>
          <w:tcPr>
            <w:tcW w:w="836" w:type="dxa"/>
            <w:shd w:val="clear" w:color="auto" w:fill="F9F9FB"/>
          </w:tcPr>
          <w:p w14:paraId="51765C0C"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2</w:t>
            </w:r>
          </w:p>
        </w:tc>
        <w:tc>
          <w:tcPr>
            <w:tcW w:w="1148" w:type="dxa"/>
            <w:shd w:val="clear" w:color="auto" w:fill="F9F9FB"/>
          </w:tcPr>
          <w:p w14:paraId="44B6108D"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1.863</w:t>
            </w:r>
          </w:p>
        </w:tc>
        <w:tc>
          <w:tcPr>
            <w:tcW w:w="836" w:type="dxa"/>
            <w:shd w:val="clear" w:color="auto" w:fill="F9F9FB"/>
          </w:tcPr>
          <w:p w14:paraId="17A5C30C"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3.003</w:t>
            </w:r>
          </w:p>
        </w:tc>
        <w:tc>
          <w:tcPr>
            <w:tcW w:w="839" w:type="dxa"/>
            <w:shd w:val="clear" w:color="auto" w:fill="F9F9FB"/>
          </w:tcPr>
          <w:p w14:paraId="4D386452"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.061</w:t>
            </w:r>
          </w:p>
        </w:tc>
      </w:tr>
      <w:tr w:rsidR="009D07D8" w:rsidRPr="009D07D8" w14:paraId="1FA2EFEC" w14:textId="77777777" w:rsidTr="009D07D8">
        <w:tblPrEx>
          <w:tblCellMar>
            <w:top w:w="0" w:type="dxa"/>
            <w:bottom w:w="0" w:type="dxa"/>
          </w:tblCellMar>
        </w:tblPrEx>
        <w:trPr>
          <w:cantSplit/>
          <w:trHeight w:val="151"/>
        </w:trPr>
        <w:tc>
          <w:tcPr>
            <w:tcW w:w="1998" w:type="dxa"/>
            <w:vMerge/>
            <w:shd w:val="clear" w:color="auto" w:fill="E0E0E0"/>
          </w:tcPr>
          <w:p w14:paraId="10592D38" w14:textId="77777777" w:rsidR="0023504D" w:rsidRPr="0023504D" w:rsidRDefault="0023504D" w:rsidP="0023504D">
            <w:pPr>
              <w:autoSpaceDE w:val="0"/>
              <w:autoSpaceDN w:val="0"/>
              <w:adjustRightInd w:val="0"/>
              <w:spacing w:after="0" w:line="240" w:lineRule="auto"/>
              <w:rPr>
                <w:color w:val="010205"/>
                <w:kern w:val="0"/>
                <w:lang w:val="en-US"/>
              </w:rPr>
            </w:pPr>
          </w:p>
        </w:tc>
        <w:tc>
          <w:tcPr>
            <w:tcW w:w="1386" w:type="dxa"/>
            <w:vMerge/>
            <w:shd w:val="clear" w:color="auto" w:fill="E0E0E0"/>
          </w:tcPr>
          <w:p w14:paraId="48288247" w14:textId="77777777" w:rsidR="0023504D" w:rsidRPr="0023504D" w:rsidRDefault="0023504D" w:rsidP="0023504D">
            <w:pPr>
              <w:autoSpaceDE w:val="0"/>
              <w:autoSpaceDN w:val="0"/>
              <w:adjustRightInd w:val="0"/>
              <w:spacing w:after="0" w:line="240" w:lineRule="auto"/>
              <w:rPr>
                <w:color w:val="010205"/>
                <w:kern w:val="0"/>
                <w:lang w:val="en-US"/>
              </w:rPr>
            </w:pPr>
          </w:p>
        </w:tc>
        <w:tc>
          <w:tcPr>
            <w:tcW w:w="1837" w:type="dxa"/>
            <w:shd w:val="clear" w:color="auto" w:fill="E0E0E0"/>
          </w:tcPr>
          <w:p w14:paraId="551ABBD4" w14:textId="77777777" w:rsidR="0023504D" w:rsidRPr="0023504D" w:rsidRDefault="0023504D" w:rsidP="0023504D">
            <w:pPr>
              <w:autoSpaceDE w:val="0"/>
              <w:autoSpaceDN w:val="0"/>
              <w:adjustRightInd w:val="0"/>
              <w:spacing w:after="0" w:line="320" w:lineRule="atLeast"/>
              <w:ind w:left="60" w:right="60"/>
              <w:rPr>
                <w:color w:val="264A60"/>
                <w:kern w:val="0"/>
                <w:lang w:val="en-US"/>
              </w:rPr>
            </w:pPr>
            <w:r w:rsidRPr="0023504D">
              <w:rPr>
                <w:color w:val="264A60"/>
                <w:kern w:val="0"/>
                <w:lang w:val="en-US"/>
              </w:rPr>
              <w:t>Linearity</w:t>
            </w:r>
          </w:p>
        </w:tc>
        <w:tc>
          <w:tcPr>
            <w:tcW w:w="1199" w:type="dxa"/>
            <w:shd w:val="clear" w:color="auto" w:fill="F9F9FB"/>
          </w:tcPr>
          <w:p w14:paraId="7DA48C47"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.814</w:t>
            </w:r>
          </w:p>
        </w:tc>
        <w:tc>
          <w:tcPr>
            <w:tcW w:w="836" w:type="dxa"/>
            <w:shd w:val="clear" w:color="auto" w:fill="F9F9FB"/>
          </w:tcPr>
          <w:p w14:paraId="2CA67EF3"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1</w:t>
            </w:r>
          </w:p>
        </w:tc>
        <w:tc>
          <w:tcPr>
            <w:tcW w:w="1148" w:type="dxa"/>
            <w:shd w:val="clear" w:color="auto" w:fill="F9F9FB"/>
          </w:tcPr>
          <w:p w14:paraId="0A60ED33"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.814</w:t>
            </w:r>
          </w:p>
        </w:tc>
        <w:tc>
          <w:tcPr>
            <w:tcW w:w="836" w:type="dxa"/>
            <w:shd w:val="clear" w:color="auto" w:fill="F9F9FB"/>
          </w:tcPr>
          <w:p w14:paraId="4378647D"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1.312</w:t>
            </w:r>
          </w:p>
        </w:tc>
        <w:tc>
          <w:tcPr>
            <w:tcW w:w="839" w:type="dxa"/>
            <w:shd w:val="clear" w:color="auto" w:fill="F9F9FB"/>
          </w:tcPr>
          <w:p w14:paraId="7CB3FAA1"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.259</w:t>
            </w:r>
          </w:p>
        </w:tc>
      </w:tr>
      <w:tr w:rsidR="009D07D8" w:rsidRPr="009D07D8" w14:paraId="3E182B1C" w14:textId="77777777" w:rsidTr="009D07D8">
        <w:tblPrEx>
          <w:tblCellMar>
            <w:top w:w="0" w:type="dxa"/>
            <w:bottom w:w="0" w:type="dxa"/>
          </w:tblCellMar>
        </w:tblPrEx>
        <w:trPr>
          <w:cantSplit/>
          <w:trHeight w:val="151"/>
        </w:trPr>
        <w:tc>
          <w:tcPr>
            <w:tcW w:w="1998" w:type="dxa"/>
            <w:vMerge/>
            <w:shd w:val="clear" w:color="auto" w:fill="E0E0E0"/>
          </w:tcPr>
          <w:p w14:paraId="48DAE6E8" w14:textId="77777777" w:rsidR="0023504D" w:rsidRPr="0023504D" w:rsidRDefault="0023504D" w:rsidP="0023504D">
            <w:pPr>
              <w:autoSpaceDE w:val="0"/>
              <w:autoSpaceDN w:val="0"/>
              <w:adjustRightInd w:val="0"/>
              <w:spacing w:after="0" w:line="240" w:lineRule="auto"/>
              <w:rPr>
                <w:color w:val="010205"/>
                <w:kern w:val="0"/>
                <w:lang w:val="en-US"/>
              </w:rPr>
            </w:pPr>
          </w:p>
        </w:tc>
        <w:tc>
          <w:tcPr>
            <w:tcW w:w="1386" w:type="dxa"/>
            <w:vMerge/>
            <w:shd w:val="clear" w:color="auto" w:fill="E0E0E0"/>
          </w:tcPr>
          <w:p w14:paraId="10D938A3" w14:textId="77777777" w:rsidR="0023504D" w:rsidRPr="0023504D" w:rsidRDefault="0023504D" w:rsidP="0023504D">
            <w:pPr>
              <w:autoSpaceDE w:val="0"/>
              <w:autoSpaceDN w:val="0"/>
              <w:adjustRightInd w:val="0"/>
              <w:spacing w:after="0" w:line="240" w:lineRule="auto"/>
              <w:rPr>
                <w:color w:val="010205"/>
                <w:kern w:val="0"/>
                <w:lang w:val="en-US"/>
              </w:rPr>
            </w:pPr>
          </w:p>
        </w:tc>
        <w:tc>
          <w:tcPr>
            <w:tcW w:w="1837" w:type="dxa"/>
            <w:shd w:val="clear" w:color="auto" w:fill="E0E0E0"/>
          </w:tcPr>
          <w:p w14:paraId="785E7D55" w14:textId="77777777" w:rsidR="0023504D" w:rsidRPr="0023504D" w:rsidRDefault="0023504D" w:rsidP="0023504D">
            <w:pPr>
              <w:autoSpaceDE w:val="0"/>
              <w:autoSpaceDN w:val="0"/>
              <w:adjustRightInd w:val="0"/>
              <w:spacing w:after="0" w:line="320" w:lineRule="atLeast"/>
              <w:ind w:left="60" w:right="60"/>
              <w:rPr>
                <w:color w:val="264A60"/>
                <w:kern w:val="0"/>
                <w:lang w:val="en-US"/>
              </w:rPr>
            </w:pPr>
            <w:r w:rsidRPr="0023504D">
              <w:rPr>
                <w:color w:val="264A60"/>
                <w:kern w:val="0"/>
                <w:lang w:val="en-US"/>
              </w:rPr>
              <w:t>Deviation from Linearity</w:t>
            </w:r>
          </w:p>
        </w:tc>
        <w:tc>
          <w:tcPr>
            <w:tcW w:w="1199" w:type="dxa"/>
            <w:shd w:val="clear" w:color="auto" w:fill="F9F9FB"/>
          </w:tcPr>
          <w:p w14:paraId="5BFB27F4"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2.912</w:t>
            </w:r>
          </w:p>
        </w:tc>
        <w:tc>
          <w:tcPr>
            <w:tcW w:w="836" w:type="dxa"/>
            <w:shd w:val="clear" w:color="auto" w:fill="F9F9FB"/>
          </w:tcPr>
          <w:p w14:paraId="4D38A211"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1</w:t>
            </w:r>
          </w:p>
        </w:tc>
        <w:tc>
          <w:tcPr>
            <w:tcW w:w="1148" w:type="dxa"/>
            <w:shd w:val="clear" w:color="auto" w:fill="F9F9FB"/>
          </w:tcPr>
          <w:p w14:paraId="10AE4BA2"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2.912</w:t>
            </w:r>
          </w:p>
        </w:tc>
        <w:tc>
          <w:tcPr>
            <w:tcW w:w="836" w:type="dxa"/>
            <w:shd w:val="clear" w:color="auto" w:fill="F9F9FB"/>
          </w:tcPr>
          <w:p w14:paraId="09983715"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4.694</w:t>
            </w:r>
          </w:p>
        </w:tc>
        <w:tc>
          <w:tcPr>
            <w:tcW w:w="839" w:type="dxa"/>
            <w:shd w:val="clear" w:color="auto" w:fill="F9F9FB"/>
          </w:tcPr>
          <w:p w14:paraId="2F85E112"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.036</w:t>
            </w:r>
          </w:p>
        </w:tc>
      </w:tr>
      <w:tr w:rsidR="009D07D8" w:rsidRPr="009D07D8" w14:paraId="485BFBFA" w14:textId="77777777" w:rsidTr="009D07D8">
        <w:tblPrEx>
          <w:tblCellMar>
            <w:top w:w="0" w:type="dxa"/>
            <w:bottom w:w="0" w:type="dxa"/>
          </w:tblCellMar>
        </w:tblPrEx>
        <w:trPr>
          <w:cantSplit/>
          <w:trHeight w:val="151"/>
        </w:trPr>
        <w:tc>
          <w:tcPr>
            <w:tcW w:w="1998" w:type="dxa"/>
            <w:vMerge/>
            <w:shd w:val="clear" w:color="auto" w:fill="E0E0E0"/>
          </w:tcPr>
          <w:p w14:paraId="403A9428" w14:textId="77777777" w:rsidR="0023504D" w:rsidRPr="0023504D" w:rsidRDefault="0023504D" w:rsidP="0023504D">
            <w:pPr>
              <w:autoSpaceDE w:val="0"/>
              <w:autoSpaceDN w:val="0"/>
              <w:adjustRightInd w:val="0"/>
              <w:spacing w:after="0" w:line="240" w:lineRule="auto"/>
              <w:rPr>
                <w:color w:val="010205"/>
                <w:kern w:val="0"/>
                <w:lang w:val="en-US"/>
              </w:rPr>
            </w:pPr>
          </w:p>
        </w:tc>
        <w:tc>
          <w:tcPr>
            <w:tcW w:w="3223" w:type="dxa"/>
            <w:gridSpan w:val="2"/>
            <w:shd w:val="clear" w:color="auto" w:fill="E0E0E0"/>
          </w:tcPr>
          <w:p w14:paraId="2252AB35" w14:textId="77777777" w:rsidR="0023504D" w:rsidRPr="0023504D" w:rsidRDefault="0023504D" w:rsidP="0023504D">
            <w:pPr>
              <w:autoSpaceDE w:val="0"/>
              <w:autoSpaceDN w:val="0"/>
              <w:adjustRightInd w:val="0"/>
              <w:spacing w:after="0" w:line="320" w:lineRule="atLeast"/>
              <w:ind w:left="60" w:right="60"/>
              <w:rPr>
                <w:color w:val="264A60"/>
                <w:kern w:val="0"/>
                <w:lang w:val="en-US"/>
              </w:rPr>
            </w:pPr>
            <w:r w:rsidRPr="0023504D">
              <w:rPr>
                <w:color w:val="264A60"/>
                <w:kern w:val="0"/>
                <w:lang w:val="en-US"/>
              </w:rPr>
              <w:t>Within Groups</w:t>
            </w:r>
          </w:p>
        </w:tc>
        <w:tc>
          <w:tcPr>
            <w:tcW w:w="1199" w:type="dxa"/>
            <w:shd w:val="clear" w:color="auto" w:fill="F9F9FB"/>
          </w:tcPr>
          <w:p w14:paraId="587EE093"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25.433</w:t>
            </w:r>
          </w:p>
        </w:tc>
        <w:tc>
          <w:tcPr>
            <w:tcW w:w="836" w:type="dxa"/>
            <w:shd w:val="clear" w:color="auto" w:fill="F9F9FB"/>
          </w:tcPr>
          <w:p w14:paraId="167A5CD1"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41</w:t>
            </w:r>
          </w:p>
        </w:tc>
        <w:tc>
          <w:tcPr>
            <w:tcW w:w="1148" w:type="dxa"/>
            <w:shd w:val="clear" w:color="auto" w:fill="F9F9FB"/>
          </w:tcPr>
          <w:p w14:paraId="6F47899A"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.620</w:t>
            </w:r>
          </w:p>
        </w:tc>
        <w:tc>
          <w:tcPr>
            <w:tcW w:w="836" w:type="dxa"/>
            <w:shd w:val="clear" w:color="auto" w:fill="F9F9FB"/>
            <w:vAlign w:val="center"/>
          </w:tcPr>
          <w:p w14:paraId="2676C452" w14:textId="77777777" w:rsidR="0023504D" w:rsidRPr="0023504D" w:rsidRDefault="0023504D" w:rsidP="0023504D">
            <w:pPr>
              <w:autoSpaceDE w:val="0"/>
              <w:autoSpaceDN w:val="0"/>
              <w:adjustRightInd w:val="0"/>
              <w:spacing w:after="0" w:line="240" w:lineRule="auto"/>
              <w:rPr>
                <w:kern w:val="0"/>
                <w:lang w:val="en-US"/>
              </w:rPr>
            </w:pPr>
          </w:p>
        </w:tc>
        <w:tc>
          <w:tcPr>
            <w:tcW w:w="839" w:type="dxa"/>
            <w:shd w:val="clear" w:color="auto" w:fill="F9F9FB"/>
            <w:vAlign w:val="center"/>
          </w:tcPr>
          <w:p w14:paraId="35563C81" w14:textId="77777777" w:rsidR="0023504D" w:rsidRPr="0023504D" w:rsidRDefault="0023504D" w:rsidP="0023504D">
            <w:pPr>
              <w:autoSpaceDE w:val="0"/>
              <w:autoSpaceDN w:val="0"/>
              <w:adjustRightInd w:val="0"/>
              <w:spacing w:after="0" w:line="240" w:lineRule="auto"/>
              <w:rPr>
                <w:kern w:val="0"/>
                <w:lang w:val="en-US"/>
              </w:rPr>
            </w:pPr>
          </w:p>
        </w:tc>
      </w:tr>
      <w:tr w:rsidR="009D07D8" w:rsidRPr="009D07D8" w14:paraId="24CB6990" w14:textId="77777777" w:rsidTr="009D07D8">
        <w:tblPrEx>
          <w:tblCellMar>
            <w:top w:w="0" w:type="dxa"/>
            <w:bottom w:w="0" w:type="dxa"/>
          </w:tblCellMar>
        </w:tblPrEx>
        <w:trPr>
          <w:cantSplit/>
          <w:trHeight w:val="151"/>
        </w:trPr>
        <w:tc>
          <w:tcPr>
            <w:tcW w:w="1998" w:type="dxa"/>
            <w:vMerge/>
            <w:shd w:val="clear" w:color="auto" w:fill="E0E0E0"/>
          </w:tcPr>
          <w:p w14:paraId="0BDE7ADE" w14:textId="77777777" w:rsidR="0023504D" w:rsidRPr="0023504D" w:rsidRDefault="0023504D" w:rsidP="0023504D">
            <w:pPr>
              <w:autoSpaceDE w:val="0"/>
              <w:autoSpaceDN w:val="0"/>
              <w:adjustRightInd w:val="0"/>
              <w:spacing w:after="0" w:line="240" w:lineRule="auto"/>
              <w:rPr>
                <w:kern w:val="0"/>
                <w:lang w:val="en-US"/>
              </w:rPr>
            </w:pPr>
          </w:p>
        </w:tc>
        <w:tc>
          <w:tcPr>
            <w:tcW w:w="3223" w:type="dxa"/>
            <w:gridSpan w:val="2"/>
            <w:shd w:val="clear" w:color="auto" w:fill="E0E0E0"/>
          </w:tcPr>
          <w:p w14:paraId="711C5057" w14:textId="77777777" w:rsidR="0023504D" w:rsidRPr="0023504D" w:rsidRDefault="0023504D" w:rsidP="0023504D">
            <w:pPr>
              <w:autoSpaceDE w:val="0"/>
              <w:autoSpaceDN w:val="0"/>
              <w:adjustRightInd w:val="0"/>
              <w:spacing w:after="0" w:line="320" w:lineRule="atLeast"/>
              <w:ind w:left="60" w:right="60"/>
              <w:rPr>
                <w:color w:val="264A60"/>
                <w:kern w:val="0"/>
                <w:lang w:val="en-US"/>
              </w:rPr>
            </w:pPr>
            <w:r w:rsidRPr="0023504D">
              <w:rPr>
                <w:color w:val="264A60"/>
                <w:kern w:val="0"/>
                <w:lang w:val="en-US"/>
              </w:rPr>
              <w:t>Total</w:t>
            </w:r>
          </w:p>
        </w:tc>
        <w:tc>
          <w:tcPr>
            <w:tcW w:w="1199" w:type="dxa"/>
            <w:shd w:val="clear" w:color="auto" w:fill="F9F9FB"/>
          </w:tcPr>
          <w:p w14:paraId="66431490"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29.159</w:t>
            </w:r>
          </w:p>
        </w:tc>
        <w:tc>
          <w:tcPr>
            <w:tcW w:w="836" w:type="dxa"/>
            <w:shd w:val="clear" w:color="auto" w:fill="F9F9FB"/>
          </w:tcPr>
          <w:p w14:paraId="3678B500" w14:textId="77777777" w:rsidR="0023504D" w:rsidRPr="0023504D" w:rsidRDefault="0023504D" w:rsidP="0023504D">
            <w:pPr>
              <w:autoSpaceDE w:val="0"/>
              <w:autoSpaceDN w:val="0"/>
              <w:adjustRightInd w:val="0"/>
              <w:spacing w:after="0" w:line="320" w:lineRule="atLeast"/>
              <w:ind w:left="60" w:right="60"/>
              <w:jc w:val="right"/>
              <w:rPr>
                <w:color w:val="010205"/>
                <w:kern w:val="0"/>
                <w:lang w:val="en-US"/>
              </w:rPr>
            </w:pPr>
            <w:r w:rsidRPr="0023504D">
              <w:rPr>
                <w:color w:val="010205"/>
                <w:kern w:val="0"/>
                <w:lang w:val="en-US"/>
              </w:rPr>
              <w:t>43</w:t>
            </w:r>
          </w:p>
        </w:tc>
        <w:tc>
          <w:tcPr>
            <w:tcW w:w="1148" w:type="dxa"/>
            <w:shd w:val="clear" w:color="auto" w:fill="F9F9FB"/>
            <w:vAlign w:val="center"/>
          </w:tcPr>
          <w:p w14:paraId="4FC48EED" w14:textId="77777777" w:rsidR="0023504D" w:rsidRPr="0023504D" w:rsidRDefault="0023504D" w:rsidP="0023504D">
            <w:pPr>
              <w:autoSpaceDE w:val="0"/>
              <w:autoSpaceDN w:val="0"/>
              <w:adjustRightInd w:val="0"/>
              <w:spacing w:after="0" w:line="240" w:lineRule="auto"/>
              <w:rPr>
                <w:kern w:val="0"/>
                <w:lang w:val="en-US"/>
              </w:rPr>
            </w:pPr>
          </w:p>
        </w:tc>
        <w:tc>
          <w:tcPr>
            <w:tcW w:w="836" w:type="dxa"/>
            <w:shd w:val="clear" w:color="auto" w:fill="F9F9FB"/>
            <w:vAlign w:val="center"/>
          </w:tcPr>
          <w:p w14:paraId="42ABF057" w14:textId="77777777" w:rsidR="0023504D" w:rsidRPr="0023504D" w:rsidRDefault="0023504D" w:rsidP="0023504D">
            <w:pPr>
              <w:autoSpaceDE w:val="0"/>
              <w:autoSpaceDN w:val="0"/>
              <w:adjustRightInd w:val="0"/>
              <w:spacing w:after="0" w:line="240" w:lineRule="auto"/>
              <w:rPr>
                <w:kern w:val="0"/>
                <w:lang w:val="en-US"/>
              </w:rPr>
            </w:pPr>
          </w:p>
        </w:tc>
        <w:tc>
          <w:tcPr>
            <w:tcW w:w="839" w:type="dxa"/>
            <w:shd w:val="clear" w:color="auto" w:fill="F9F9FB"/>
            <w:vAlign w:val="center"/>
          </w:tcPr>
          <w:p w14:paraId="59301611" w14:textId="77777777" w:rsidR="0023504D" w:rsidRPr="0023504D" w:rsidRDefault="0023504D" w:rsidP="0023504D">
            <w:pPr>
              <w:autoSpaceDE w:val="0"/>
              <w:autoSpaceDN w:val="0"/>
              <w:adjustRightInd w:val="0"/>
              <w:spacing w:after="0" w:line="240" w:lineRule="auto"/>
              <w:rPr>
                <w:kern w:val="0"/>
                <w:lang w:val="en-US"/>
              </w:rPr>
            </w:pPr>
          </w:p>
        </w:tc>
      </w:tr>
    </w:tbl>
    <w:p w14:paraId="2A9D758E" w14:textId="77777777" w:rsidR="0023504D" w:rsidRPr="0023504D" w:rsidRDefault="0023504D" w:rsidP="0023504D">
      <w:pPr>
        <w:autoSpaceDE w:val="0"/>
        <w:autoSpaceDN w:val="0"/>
        <w:adjustRightInd w:val="0"/>
        <w:spacing w:after="0" w:line="400" w:lineRule="atLeast"/>
        <w:rPr>
          <w:kern w:val="0"/>
          <w:lang w:val="en-US"/>
        </w:rPr>
      </w:pPr>
    </w:p>
    <w:p w14:paraId="6E61151B" w14:textId="77777777" w:rsidR="0023504D" w:rsidRPr="009D07D8" w:rsidRDefault="0023504D" w:rsidP="001D4870">
      <w:pPr>
        <w:spacing w:line="360" w:lineRule="auto"/>
      </w:pPr>
    </w:p>
    <w:p w14:paraId="6472F927" w14:textId="77777777" w:rsidR="0023504D" w:rsidRPr="009D07D8" w:rsidRDefault="0023504D" w:rsidP="001D4870">
      <w:pPr>
        <w:spacing w:line="360" w:lineRule="auto"/>
      </w:pPr>
    </w:p>
    <w:p w14:paraId="115B7442" w14:textId="2CC8F0E6" w:rsidR="00532B3F" w:rsidRPr="009D07D8" w:rsidRDefault="00532B3F" w:rsidP="001D4870">
      <w:pPr>
        <w:pStyle w:val="Heading3"/>
        <w:spacing w:line="360" w:lineRule="auto"/>
        <w:rPr>
          <w:rFonts w:ascii="Times New Roman" w:hAnsi="Times New Roman" w:cs="Times New Roman"/>
        </w:rPr>
      </w:pPr>
      <w:bookmarkStart w:id="17" w:name="_Toc171129239"/>
      <w:bookmarkStart w:id="18" w:name="_Toc171616145"/>
      <w:r w:rsidRPr="009D07D8">
        <w:rPr>
          <w:rFonts w:ascii="Times New Roman" w:hAnsi="Times New Roman" w:cs="Times New Roman"/>
        </w:rPr>
        <w:t xml:space="preserve">4.2 </w:t>
      </w:r>
      <w:r w:rsidR="001701C9" w:rsidRPr="009D07D8">
        <w:rPr>
          <w:rFonts w:ascii="Times New Roman" w:hAnsi="Times New Roman" w:cs="Times New Roman"/>
        </w:rPr>
        <w:t xml:space="preserve">Relative </w:t>
      </w:r>
      <w:r w:rsidRPr="009D07D8">
        <w:rPr>
          <w:rFonts w:ascii="Times New Roman" w:hAnsi="Times New Roman" w:cs="Times New Roman"/>
        </w:rPr>
        <w:t xml:space="preserve">Abundance of </w:t>
      </w:r>
      <w:r w:rsidR="0053312E" w:rsidRPr="009D07D8">
        <w:rPr>
          <w:rFonts w:ascii="Times New Roman" w:hAnsi="Times New Roman" w:cs="Times New Roman"/>
        </w:rPr>
        <w:t>F</w:t>
      </w:r>
      <w:r w:rsidRPr="009D07D8">
        <w:rPr>
          <w:rFonts w:ascii="Times New Roman" w:hAnsi="Times New Roman" w:cs="Times New Roman"/>
        </w:rPr>
        <w:t>ungi</w:t>
      </w:r>
      <w:bookmarkEnd w:id="17"/>
      <w:bookmarkEnd w:id="18"/>
      <w:r w:rsidRPr="009D07D8">
        <w:rPr>
          <w:rFonts w:ascii="Times New Roman" w:hAnsi="Times New Roman" w:cs="Times New Roman"/>
        </w:rPr>
        <w:t xml:space="preserve"> </w:t>
      </w:r>
    </w:p>
    <w:p w14:paraId="7A1100FE" w14:textId="48AAA870" w:rsidR="00E44FFB" w:rsidRPr="009D07D8" w:rsidRDefault="009D4FE7" w:rsidP="001D4870">
      <w:pPr>
        <w:pStyle w:val="Heading4"/>
        <w:spacing w:line="360" w:lineRule="auto"/>
        <w:jc w:val="both"/>
        <w:rPr>
          <w:rFonts w:ascii="Times New Roman" w:hAnsi="Times New Roman" w:cs="Times New Roman"/>
        </w:rPr>
      </w:pPr>
      <w:bookmarkStart w:id="19" w:name="_Toc171129240"/>
      <w:bookmarkStart w:id="20" w:name="_Toc171616146"/>
      <w:r w:rsidRPr="009D07D8">
        <w:rPr>
          <w:rFonts w:ascii="Times New Roman" w:hAnsi="Times New Roman" w:cs="Times New Roman"/>
        </w:rPr>
        <w:t>4.2.1 Abundance of fungi in each hospital ward.</w:t>
      </w:r>
      <w:bookmarkEnd w:id="19"/>
      <w:bookmarkEnd w:id="20"/>
    </w:p>
    <w:p w14:paraId="3C676C34" w14:textId="01E723A8" w:rsidR="009D4FE7" w:rsidRPr="009D07D8" w:rsidRDefault="009D4FE7" w:rsidP="001D4870">
      <w:pPr>
        <w:spacing w:after="0" w:line="360" w:lineRule="auto"/>
        <w:jc w:val="both"/>
      </w:pPr>
      <w:r w:rsidRPr="009D07D8">
        <w:t xml:space="preserve">The figure below illustrates the relative abundance of various fungal species across different hospital wards: Neonatal, Children's Ward, and Outpatient Department (OPD). In the Neonatal Ward, Aspergillus </w:t>
      </w:r>
      <w:proofErr w:type="spellStart"/>
      <w:r w:rsidRPr="009D07D8">
        <w:t>niger</w:t>
      </w:r>
      <w:proofErr w:type="spellEnd"/>
      <w:r w:rsidRPr="009D07D8">
        <w:t xml:space="preserve"> (A. </w:t>
      </w:r>
      <w:proofErr w:type="spellStart"/>
      <w:r w:rsidRPr="009D07D8">
        <w:t>niger</w:t>
      </w:r>
      <w:proofErr w:type="spellEnd"/>
      <w:r w:rsidRPr="009D07D8">
        <w:t xml:space="preserve">) is present with a count of 33, while Aspergillus fumigatus (A. fumigatus) is more abundant with a count of 45. Other fungi present include Colletotrichum (4), Penicillium (3), Aspergillus flavus (A. flavus) (1), and </w:t>
      </w:r>
      <w:proofErr w:type="spellStart"/>
      <w:r w:rsidRPr="009D07D8">
        <w:t>Curvularia</w:t>
      </w:r>
      <w:proofErr w:type="spellEnd"/>
      <w:r w:rsidRPr="009D07D8">
        <w:t xml:space="preserve"> (1). In the Children's Ward, Aspergillus </w:t>
      </w:r>
      <w:proofErr w:type="spellStart"/>
      <w:r w:rsidRPr="009D07D8">
        <w:t>niger</w:t>
      </w:r>
      <w:proofErr w:type="spellEnd"/>
      <w:r w:rsidRPr="009D07D8">
        <w:t xml:space="preserve"> (A. </w:t>
      </w:r>
      <w:proofErr w:type="spellStart"/>
      <w:r w:rsidRPr="009D07D8">
        <w:t>niger</w:t>
      </w:r>
      <w:proofErr w:type="spellEnd"/>
      <w:r w:rsidRPr="009D07D8">
        <w:t xml:space="preserve">) has a count of 18, whereas Aspergillus fumigatus (A. fumigatus) shows a significantly higher abundance with a count of 133. Colletotrichum is also present with a count of 8, but Penicillium, Aspergillus flavus (A. flavus), and </w:t>
      </w:r>
      <w:proofErr w:type="spellStart"/>
      <w:r w:rsidRPr="009D07D8">
        <w:t>Curvularia</w:t>
      </w:r>
      <w:proofErr w:type="spellEnd"/>
      <w:r w:rsidRPr="009D07D8">
        <w:t xml:space="preserve"> are absent in this ward. In the OPD, Aspergillus </w:t>
      </w:r>
      <w:proofErr w:type="spellStart"/>
      <w:r w:rsidRPr="009D07D8">
        <w:t>niger</w:t>
      </w:r>
      <w:proofErr w:type="spellEnd"/>
      <w:r w:rsidRPr="009D07D8">
        <w:t xml:space="preserve"> (A. </w:t>
      </w:r>
      <w:proofErr w:type="spellStart"/>
      <w:r w:rsidRPr="009D07D8">
        <w:t>niger</w:t>
      </w:r>
      <w:proofErr w:type="spellEnd"/>
      <w:r w:rsidRPr="009D07D8">
        <w:t xml:space="preserve">) has a count of 13, Aspergillus fumigatus (A. fumigatus) has a count of 20, and Colletotrichum has a count of 2. </w:t>
      </w:r>
      <w:proofErr w:type="spellStart"/>
      <w:r w:rsidRPr="009D07D8">
        <w:t>Curvularia</w:t>
      </w:r>
      <w:proofErr w:type="spellEnd"/>
      <w:r w:rsidRPr="009D07D8">
        <w:t xml:space="preserve"> is present with a count of 3, but Penicillium and Aspergillus flavus (A. flavus) are not found. Overall, Aspergillus fumigatus (A. fumigatus) shows the highest relative abundance in the Children's Ward with a count of 133, while Aspergillus </w:t>
      </w:r>
      <w:proofErr w:type="spellStart"/>
      <w:r w:rsidRPr="009D07D8">
        <w:t>niger</w:t>
      </w:r>
      <w:proofErr w:type="spellEnd"/>
      <w:r w:rsidRPr="009D07D8">
        <w:t xml:space="preserve"> (A. </w:t>
      </w:r>
      <w:proofErr w:type="spellStart"/>
      <w:r w:rsidRPr="009D07D8">
        <w:t>niger</w:t>
      </w:r>
      <w:proofErr w:type="spellEnd"/>
      <w:r w:rsidRPr="009D07D8">
        <w:t xml:space="preserve">) is present in all wards, with the highest count in the Neonatal Ward (33). Colletotrichum is present in the Neonatal and Children's Wards, with minimal presence in the OPD. Penicillium is found only in the Neonatal Ward, Aspergillus flavus (A. flavus) is present only in the Neonatal Ward, and </w:t>
      </w:r>
      <w:proofErr w:type="spellStart"/>
      <w:r w:rsidRPr="009D07D8">
        <w:t>Curvularia</w:t>
      </w:r>
      <w:proofErr w:type="spellEnd"/>
      <w:r w:rsidRPr="009D07D8">
        <w:t xml:space="preserve"> is found in the Neonatal Ward and OPD but not in the Children's Ward.</w:t>
      </w:r>
    </w:p>
    <w:p w14:paraId="0BE6B375" w14:textId="77777777" w:rsidR="00E25630" w:rsidRPr="009D07D8" w:rsidRDefault="00E25630" w:rsidP="001D4870">
      <w:pPr>
        <w:spacing w:after="0" w:line="360" w:lineRule="auto"/>
        <w:jc w:val="both"/>
      </w:pPr>
    </w:p>
    <w:p w14:paraId="5647E428" w14:textId="77777777" w:rsidR="00E44FFB" w:rsidRPr="009D07D8" w:rsidRDefault="00E25630" w:rsidP="001D4870">
      <w:pPr>
        <w:keepNext/>
        <w:spacing w:after="0" w:line="360" w:lineRule="auto"/>
        <w:jc w:val="both"/>
      </w:pPr>
      <w:r w:rsidRPr="009D07D8">
        <w:rPr>
          <w:noProof/>
        </w:rPr>
        <w:lastRenderedPageBreak/>
        <w:drawing>
          <wp:inline distT="0" distB="0" distL="0" distR="0" wp14:anchorId="35BA9D3E" wp14:editId="79127904">
            <wp:extent cx="5857336" cy="2329132"/>
            <wp:effectExtent l="0" t="0" r="10160" b="14605"/>
            <wp:docPr id="7317016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DA361B" w14:textId="5D432F92" w:rsidR="00E25630" w:rsidRPr="009D07D8" w:rsidRDefault="00E44FFB" w:rsidP="001D4870">
      <w:pPr>
        <w:pStyle w:val="Caption"/>
        <w:spacing w:after="0" w:line="360" w:lineRule="auto"/>
        <w:jc w:val="both"/>
        <w:rPr>
          <w:sz w:val="24"/>
          <w:szCs w:val="24"/>
        </w:rPr>
      </w:pPr>
      <w:bookmarkStart w:id="21" w:name="_Toc171129372"/>
      <w:bookmarkStart w:id="22" w:name="_Toc171610207"/>
      <w:r w:rsidRPr="009D07D8">
        <w:rPr>
          <w:sz w:val="24"/>
          <w:szCs w:val="24"/>
        </w:rPr>
        <w:t xml:space="preserve">Figure </w:t>
      </w:r>
      <w:r w:rsidR="00700369" w:rsidRPr="009D07D8">
        <w:rPr>
          <w:sz w:val="24"/>
          <w:szCs w:val="24"/>
        </w:rPr>
        <w:t>4</w:t>
      </w:r>
      <w:r w:rsidRPr="009D07D8">
        <w:rPr>
          <w:sz w:val="24"/>
          <w:szCs w:val="24"/>
        </w:rPr>
        <w:t>: ABUNDANCE OF FUNGI IN EACH HOSPITAL WARD</w:t>
      </w:r>
      <w:bookmarkEnd w:id="21"/>
      <w:bookmarkEnd w:id="22"/>
    </w:p>
    <w:p w14:paraId="78180FE7" w14:textId="77777777" w:rsidR="00E25630" w:rsidRPr="009D07D8" w:rsidRDefault="00E25630" w:rsidP="001D4870">
      <w:pPr>
        <w:spacing w:after="0" w:line="360" w:lineRule="auto"/>
        <w:jc w:val="both"/>
      </w:pPr>
    </w:p>
    <w:p w14:paraId="398D26E4" w14:textId="5558FB15" w:rsidR="00C55DAB" w:rsidRPr="009D07D8" w:rsidRDefault="00C55DAB" w:rsidP="001D4870">
      <w:pPr>
        <w:pStyle w:val="Heading4"/>
        <w:spacing w:line="360" w:lineRule="auto"/>
        <w:jc w:val="both"/>
        <w:rPr>
          <w:rFonts w:ascii="Times New Roman" w:hAnsi="Times New Roman" w:cs="Times New Roman"/>
        </w:rPr>
      </w:pPr>
      <w:bookmarkStart w:id="23" w:name="_Toc171129241"/>
      <w:bookmarkStart w:id="24" w:name="_Toc171616147"/>
      <w:r w:rsidRPr="009D07D8">
        <w:rPr>
          <w:rFonts w:ascii="Times New Roman" w:hAnsi="Times New Roman" w:cs="Times New Roman"/>
        </w:rPr>
        <w:t>4.2.</w:t>
      </w:r>
      <w:r w:rsidR="009F6D11" w:rsidRPr="009D07D8">
        <w:rPr>
          <w:rFonts w:ascii="Times New Roman" w:hAnsi="Times New Roman" w:cs="Times New Roman"/>
        </w:rPr>
        <w:t>2</w:t>
      </w:r>
      <w:r w:rsidRPr="009D07D8">
        <w:rPr>
          <w:rFonts w:ascii="Times New Roman" w:hAnsi="Times New Roman" w:cs="Times New Roman"/>
        </w:rPr>
        <w:t xml:space="preserve"> Abundance of each </w:t>
      </w:r>
      <w:proofErr w:type="gramStart"/>
      <w:r w:rsidRPr="009D07D8">
        <w:rPr>
          <w:rFonts w:ascii="Times New Roman" w:hAnsi="Times New Roman" w:cs="Times New Roman"/>
        </w:rPr>
        <w:t>fungi</w:t>
      </w:r>
      <w:proofErr w:type="gramEnd"/>
      <w:r w:rsidRPr="009D07D8">
        <w:rPr>
          <w:rFonts w:ascii="Times New Roman" w:hAnsi="Times New Roman" w:cs="Times New Roman"/>
        </w:rPr>
        <w:t xml:space="preserve"> in the hospital wards.</w:t>
      </w:r>
      <w:bookmarkEnd w:id="23"/>
      <w:bookmarkEnd w:id="24"/>
    </w:p>
    <w:p w14:paraId="1FD6BB0D" w14:textId="7E362617" w:rsidR="00C55DAB" w:rsidRPr="009D07D8" w:rsidRDefault="00C55DAB" w:rsidP="001D4870">
      <w:pPr>
        <w:spacing w:after="0" w:line="360" w:lineRule="auto"/>
        <w:jc w:val="both"/>
      </w:pPr>
      <w:r w:rsidRPr="009D07D8">
        <w:t xml:space="preserve">The figure below displays the relative abundance of various fungal species across the hospital wards. Aspergillus fumigatus (A. fumigatus) shows the highest relative abundance with a count of 198, indicating its significant predominance among the fungal species present. Aspergillus </w:t>
      </w:r>
      <w:proofErr w:type="spellStart"/>
      <w:r w:rsidRPr="009D07D8">
        <w:t>niger</w:t>
      </w:r>
      <w:proofErr w:type="spellEnd"/>
      <w:r w:rsidRPr="009D07D8">
        <w:t xml:space="preserve"> (A. </w:t>
      </w:r>
      <w:proofErr w:type="spellStart"/>
      <w:r w:rsidRPr="009D07D8">
        <w:t>niger</w:t>
      </w:r>
      <w:proofErr w:type="spellEnd"/>
      <w:r w:rsidRPr="009D07D8">
        <w:t xml:space="preserve">) follows with a count of 64, while Colletotrichum is present with a count of 14. Penicillium has a count of 3, and Aspergillus flavus (A. flavus) shows the lowest abundance with a count of 1. </w:t>
      </w:r>
      <w:proofErr w:type="spellStart"/>
      <w:r w:rsidRPr="009D07D8">
        <w:t>Curvularia</w:t>
      </w:r>
      <w:proofErr w:type="spellEnd"/>
      <w:r w:rsidRPr="009D07D8">
        <w:t xml:space="preserve"> is present with a count of 4. This figure highlights the substantial presence of Aspergillus fumigatus (A. fumigatus) compared to other fungal species in the hospital wards.</w:t>
      </w:r>
    </w:p>
    <w:p w14:paraId="331D609B" w14:textId="77777777" w:rsidR="00E44FFB" w:rsidRPr="009D07D8" w:rsidRDefault="00F12895" w:rsidP="001D4870">
      <w:pPr>
        <w:keepNext/>
        <w:spacing w:after="0" w:line="360" w:lineRule="auto"/>
        <w:jc w:val="both"/>
      </w:pPr>
      <w:r w:rsidRPr="009D07D8">
        <w:rPr>
          <w:noProof/>
        </w:rPr>
        <w:drawing>
          <wp:inline distT="0" distB="0" distL="0" distR="0" wp14:anchorId="0473E3C1" wp14:editId="1F109CC3">
            <wp:extent cx="5934974" cy="2199640"/>
            <wp:effectExtent l="0" t="0" r="8890" b="10160"/>
            <wp:docPr id="211332154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6D12D8" w14:textId="06813862" w:rsidR="00E25630" w:rsidRPr="009D07D8" w:rsidRDefault="00E44FFB" w:rsidP="001D4870">
      <w:pPr>
        <w:pStyle w:val="Caption"/>
        <w:spacing w:after="0" w:line="360" w:lineRule="auto"/>
        <w:jc w:val="both"/>
        <w:rPr>
          <w:sz w:val="24"/>
          <w:szCs w:val="24"/>
        </w:rPr>
      </w:pPr>
      <w:bookmarkStart w:id="25" w:name="_Toc171129373"/>
      <w:bookmarkStart w:id="26" w:name="_Toc171610208"/>
      <w:r w:rsidRPr="009D07D8">
        <w:rPr>
          <w:sz w:val="24"/>
          <w:szCs w:val="24"/>
        </w:rPr>
        <w:t xml:space="preserve">Figure </w:t>
      </w:r>
      <w:r w:rsidR="00700369" w:rsidRPr="009D07D8">
        <w:rPr>
          <w:sz w:val="24"/>
          <w:szCs w:val="24"/>
        </w:rPr>
        <w:t>5</w:t>
      </w:r>
      <w:r w:rsidRPr="009D07D8">
        <w:rPr>
          <w:sz w:val="24"/>
          <w:szCs w:val="24"/>
        </w:rPr>
        <w:t>: ABUNDANCE OF EACH FUNGI IN THE HOSPITAL WARDS</w:t>
      </w:r>
      <w:bookmarkEnd w:id="25"/>
      <w:bookmarkEnd w:id="26"/>
    </w:p>
    <w:p w14:paraId="4791C21D" w14:textId="77777777" w:rsidR="00E25630" w:rsidRPr="009D07D8" w:rsidRDefault="00E25630" w:rsidP="001D4870">
      <w:pPr>
        <w:spacing w:after="0" w:line="360" w:lineRule="auto"/>
        <w:jc w:val="both"/>
      </w:pPr>
    </w:p>
    <w:p w14:paraId="53EAA60C" w14:textId="5FEEFD68" w:rsidR="009F6D11" w:rsidRPr="009D07D8" w:rsidRDefault="009F6D11" w:rsidP="001D4870">
      <w:pPr>
        <w:pStyle w:val="Heading4"/>
        <w:spacing w:line="360" w:lineRule="auto"/>
        <w:jc w:val="both"/>
        <w:rPr>
          <w:rFonts w:ascii="Times New Roman" w:hAnsi="Times New Roman" w:cs="Times New Roman"/>
        </w:rPr>
      </w:pPr>
      <w:bookmarkStart w:id="27" w:name="_Toc171129242"/>
      <w:bookmarkStart w:id="28" w:name="_Toc171616148"/>
      <w:r w:rsidRPr="009D07D8">
        <w:rPr>
          <w:rFonts w:ascii="Times New Roman" w:hAnsi="Times New Roman" w:cs="Times New Roman"/>
        </w:rPr>
        <w:lastRenderedPageBreak/>
        <w:t xml:space="preserve">4.2.3 </w:t>
      </w:r>
      <w:r w:rsidR="00532B3F" w:rsidRPr="009D07D8">
        <w:rPr>
          <w:rFonts w:ascii="Times New Roman" w:hAnsi="Times New Roman" w:cs="Times New Roman"/>
        </w:rPr>
        <w:t>Total a</w:t>
      </w:r>
      <w:r w:rsidRPr="009D07D8">
        <w:rPr>
          <w:rFonts w:ascii="Times New Roman" w:hAnsi="Times New Roman" w:cs="Times New Roman"/>
        </w:rPr>
        <w:t>bundance of fungi in the hospital wards.</w:t>
      </w:r>
      <w:bookmarkEnd w:id="27"/>
      <w:bookmarkEnd w:id="28"/>
    </w:p>
    <w:p w14:paraId="4F5FC774" w14:textId="34C089BC" w:rsidR="009F6D11" w:rsidRPr="009D07D8" w:rsidRDefault="009F6D11" w:rsidP="001D4870">
      <w:pPr>
        <w:spacing w:after="0" w:line="360" w:lineRule="auto"/>
        <w:jc w:val="both"/>
      </w:pPr>
      <w:r w:rsidRPr="009D07D8">
        <w:t xml:space="preserve">The figure shows the relative abundance of fungi across three hospital wards: Neonatal, Children's Ward, and Outpatient Department (OPD). The data indicates that the Children's Ward has the highest abundance of fungi with a count of 159. The Neonatal Ward follows with </w:t>
      </w:r>
      <w:proofErr w:type="gramStart"/>
      <w:r w:rsidRPr="009D07D8">
        <w:t>a fungi</w:t>
      </w:r>
      <w:proofErr w:type="gramEnd"/>
      <w:r w:rsidRPr="009D07D8">
        <w:t xml:space="preserve"> count of 87, and the OPD has the lowest fungi abundance with a count of 38. This figure highlights that the Children's Ward has a significantly higher presence of fungi compared to the other wards, with the Neonatal Ward having more fungi than the OPD but less than the Children's Ward.</w:t>
      </w:r>
    </w:p>
    <w:p w14:paraId="293D02DB" w14:textId="77777777" w:rsidR="00E44FFB" w:rsidRPr="009D07D8" w:rsidRDefault="000B78DE" w:rsidP="001D4870">
      <w:pPr>
        <w:keepNext/>
        <w:spacing w:after="0" w:line="360" w:lineRule="auto"/>
        <w:jc w:val="both"/>
      </w:pPr>
      <w:r w:rsidRPr="009D07D8">
        <w:rPr>
          <w:noProof/>
        </w:rPr>
        <w:drawing>
          <wp:inline distT="0" distB="0" distL="0" distR="0" wp14:anchorId="59C350F7" wp14:editId="4CBE987B">
            <wp:extent cx="6012611" cy="2484120"/>
            <wp:effectExtent l="0" t="0" r="7620" b="11430"/>
            <wp:docPr id="97906316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407BBB" w14:textId="4EF4BAC4" w:rsidR="00E25630" w:rsidRPr="009D07D8" w:rsidRDefault="00E44FFB" w:rsidP="001D4870">
      <w:pPr>
        <w:pStyle w:val="Caption"/>
        <w:spacing w:after="0" w:line="360" w:lineRule="auto"/>
        <w:jc w:val="both"/>
        <w:rPr>
          <w:sz w:val="24"/>
          <w:szCs w:val="24"/>
        </w:rPr>
      </w:pPr>
      <w:bookmarkStart w:id="29" w:name="_Toc171129374"/>
      <w:bookmarkStart w:id="30" w:name="_Toc171610209"/>
      <w:r w:rsidRPr="009D07D8">
        <w:rPr>
          <w:sz w:val="24"/>
          <w:szCs w:val="24"/>
        </w:rPr>
        <w:t xml:space="preserve">Figure </w:t>
      </w:r>
      <w:r w:rsidR="00700369" w:rsidRPr="009D07D8">
        <w:rPr>
          <w:sz w:val="24"/>
          <w:szCs w:val="24"/>
        </w:rPr>
        <w:t>6</w:t>
      </w:r>
      <w:r w:rsidRPr="009D07D8">
        <w:rPr>
          <w:sz w:val="24"/>
          <w:szCs w:val="24"/>
        </w:rPr>
        <w:t>: ABUNDANCE OF FUNGI IN THE HOSPITAL WARDS</w:t>
      </w:r>
      <w:bookmarkEnd w:id="29"/>
      <w:bookmarkEnd w:id="30"/>
    </w:p>
    <w:p w14:paraId="380A0A1F" w14:textId="77777777" w:rsidR="00E25630" w:rsidRPr="009D07D8" w:rsidRDefault="00E25630" w:rsidP="001D4870">
      <w:pPr>
        <w:spacing w:after="0" w:line="360" w:lineRule="auto"/>
        <w:jc w:val="both"/>
      </w:pPr>
    </w:p>
    <w:sectPr w:rsidR="00E25630" w:rsidRPr="009D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30"/>
    <w:rsid w:val="00000690"/>
    <w:rsid w:val="00001B9D"/>
    <w:rsid w:val="000B78DE"/>
    <w:rsid w:val="001701C9"/>
    <w:rsid w:val="001D4870"/>
    <w:rsid w:val="0023504D"/>
    <w:rsid w:val="0028610A"/>
    <w:rsid w:val="00296C3E"/>
    <w:rsid w:val="002A1F83"/>
    <w:rsid w:val="002B73AA"/>
    <w:rsid w:val="00355005"/>
    <w:rsid w:val="003616B9"/>
    <w:rsid w:val="003A1BFD"/>
    <w:rsid w:val="003B5890"/>
    <w:rsid w:val="0044163B"/>
    <w:rsid w:val="004F6171"/>
    <w:rsid w:val="00512E9F"/>
    <w:rsid w:val="00532B3F"/>
    <w:rsid w:val="0053312E"/>
    <w:rsid w:val="005B58E8"/>
    <w:rsid w:val="00700369"/>
    <w:rsid w:val="00864861"/>
    <w:rsid w:val="0097754A"/>
    <w:rsid w:val="009C70AE"/>
    <w:rsid w:val="009D07D8"/>
    <w:rsid w:val="009D4FE7"/>
    <w:rsid w:val="009F6D11"/>
    <w:rsid w:val="00AE5AC1"/>
    <w:rsid w:val="00B321D1"/>
    <w:rsid w:val="00B43309"/>
    <w:rsid w:val="00B86BDE"/>
    <w:rsid w:val="00C53544"/>
    <w:rsid w:val="00C55DAB"/>
    <w:rsid w:val="00C9233F"/>
    <w:rsid w:val="00E25630"/>
    <w:rsid w:val="00E44FFB"/>
    <w:rsid w:val="00E4569D"/>
    <w:rsid w:val="00F12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AB98A"/>
  <w15:chartTrackingRefBased/>
  <w15:docId w15:val="{77F2BABF-49F9-48B3-9D29-0DC797E12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41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1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32B3F"/>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D4F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44FF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4163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semiHidden/>
    <w:rsid w:val="0044163B"/>
    <w:rPr>
      <w:rFonts w:asciiTheme="majorHAnsi" w:eastAsiaTheme="majorEastAsia" w:hAnsiTheme="majorHAnsi" w:cstheme="majorBidi"/>
      <w:color w:val="2F5496" w:themeColor="accent1" w:themeShade="BF"/>
      <w:sz w:val="26"/>
      <w:szCs w:val="26"/>
      <w:lang w:val="en-GB"/>
    </w:rPr>
  </w:style>
  <w:style w:type="paragraph" w:styleId="TOC1">
    <w:name w:val="toc 1"/>
    <w:basedOn w:val="Normal"/>
    <w:next w:val="Normal"/>
    <w:autoRedefine/>
    <w:uiPriority w:val="39"/>
    <w:unhideWhenUsed/>
    <w:rsid w:val="0044163B"/>
    <w:pPr>
      <w:spacing w:after="100"/>
    </w:pPr>
  </w:style>
  <w:style w:type="paragraph" w:styleId="TOC2">
    <w:name w:val="toc 2"/>
    <w:basedOn w:val="Normal"/>
    <w:next w:val="Normal"/>
    <w:autoRedefine/>
    <w:uiPriority w:val="39"/>
    <w:unhideWhenUsed/>
    <w:rsid w:val="0044163B"/>
    <w:pPr>
      <w:spacing w:after="100"/>
      <w:ind w:left="240"/>
    </w:pPr>
  </w:style>
  <w:style w:type="character" w:styleId="Hyperlink">
    <w:name w:val="Hyperlink"/>
    <w:basedOn w:val="DefaultParagraphFont"/>
    <w:uiPriority w:val="99"/>
    <w:unhideWhenUsed/>
    <w:rsid w:val="0044163B"/>
    <w:rPr>
      <w:color w:val="0563C1" w:themeColor="hyperlink"/>
      <w:u w:val="single"/>
    </w:rPr>
  </w:style>
  <w:style w:type="character" w:customStyle="1" w:styleId="Heading4Char">
    <w:name w:val="Heading 4 Char"/>
    <w:basedOn w:val="DefaultParagraphFont"/>
    <w:link w:val="Heading4"/>
    <w:uiPriority w:val="9"/>
    <w:rsid w:val="009D4FE7"/>
    <w:rPr>
      <w:rFonts w:asciiTheme="majorHAnsi" w:eastAsiaTheme="majorEastAsia" w:hAnsiTheme="majorHAnsi" w:cstheme="majorBidi"/>
      <w:i/>
      <w:iCs/>
      <w:color w:val="2F5496" w:themeColor="accent1" w:themeShade="BF"/>
      <w:lang w:val="en-GB"/>
    </w:rPr>
  </w:style>
  <w:style w:type="paragraph" w:styleId="TOC4">
    <w:name w:val="toc 4"/>
    <w:basedOn w:val="Normal"/>
    <w:next w:val="Normal"/>
    <w:autoRedefine/>
    <w:uiPriority w:val="39"/>
    <w:unhideWhenUsed/>
    <w:rsid w:val="00532B3F"/>
    <w:pPr>
      <w:spacing w:after="100"/>
      <w:ind w:left="720"/>
    </w:pPr>
  </w:style>
  <w:style w:type="character" w:customStyle="1" w:styleId="Heading3Char">
    <w:name w:val="Heading 3 Char"/>
    <w:basedOn w:val="DefaultParagraphFont"/>
    <w:link w:val="Heading3"/>
    <w:uiPriority w:val="9"/>
    <w:semiHidden/>
    <w:rsid w:val="00532B3F"/>
    <w:rPr>
      <w:rFonts w:asciiTheme="majorHAnsi" w:eastAsiaTheme="majorEastAsia" w:hAnsiTheme="majorHAnsi" w:cstheme="majorBidi"/>
      <w:color w:val="1F3763" w:themeColor="accent1" w:themeShade="7F"/>
      <w:lang w:val="en-GB"/>
    </w:rPr>
  </w:style>
  <w:style w:type="paragraph" w:styleId="TOC3">
    <w:name w:val="toc 3"/>
    <w:basedOn w:val="Normal"/>
    <w:next w:val="Normal"/>
    <w:autoRedefine/>
    <w:uiPriority w:val="39"/>
    <w:unhideWhenUsed/>
    <w:rsid w:val="00E4569D"/>
    <w:pPr>
      <w:spacing w:after="100"/>
      <w:ind w:left="480"/>
    </w:pPr>
  </w:style>
  <w:style w:type="paragraph" w:styleId="TOCHeading">
    <w:name w:val="TOC Heading"/>
    <w:basedOn w:val="Heading1"/>
    <w:next w:val="Normal"/>
    <w:uiPriority w:val="39"/>
    <w:unhideWhenUsed/>
    <w:qFormat/>
    <w:rsid w:val="00E4569D"/>
    <w:pPr>
      <w:outlineLvl w:val="9"/>
    </w:pPr>
    <w:rPr>
      <w:kern w:val="0"/>
      <w:lang w:val="en-US"/>
      <w14:ligatures w14:val="none"/>
    </w:rPr>
  </w:style>
  <w:style w:type="paragraph" w:styleId="TableofFigures">
    <w:name w:val="table of figures"/>
    <w:basedOn w:val="Normal"/>
    <w:next w:val="Normal"/>
    <w:uiPriority w:val="99"/>
    <w:unhideWhenUsed/>
    <w:rsid w:val="00E4569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 ABUNANCE OF BACTERIA IN EACH</a:t>
            </a:r>
            <a:r>
              <a:rPr lang="en-US" baseline="0"/>
              <a:t> OF THE WARDS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Staphylococcus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Children's Ward</c:v>
                </c:pt>
                <c:pt idx="1">
                  <c:v>Neonatal</c:v>
                </c:pt>
                <c:pt idx="2">
                  <c:v>OPD</c:v>
                </c:pt>
              </c:strCache>
            </c:strRef>
          </c:cat>
          <c:val>
            <c:numRef>
              <c:f>Sheet1!$B$2:$B$4</c:f>
              <c:numCache>
                <c:formatCode>General</c:formatCode>
                <c:ptCount val="3"/>
                <c:pt idx="0">
                  <c:v>1</c:v>
                </c:pt>
                <c:pt idx="1">
                  <c:v>7</c:v>
                </c:pt>
                <c:pt idx="2">
                  <c:v>0</c:v>
                </c:pt>
              </c:numCache>
            </c:numRef>
          </c:val>
          <c:extLst>
            <c:ext xmlns:c16="http://schemas.microsoft.com/office/drawing/2014/chart" uri="{C3380CC4-5D6E-409C-BE32-E72D297353CC}">
              <c16:uniqueId val="{00000000-3D95-45A9-AEAB-ED7055E4074F}"/>
            </c:ext>
          </c:extLst>
        </c:ser>
        <c:ser>
          <c:idx val="1"/>
          <c:order val="1"/>
          <c:tx>
            <c:strRef>
              <c:f>Sheet1!$C$1</c:f>
              <c:strCache>
                <c:ptCount val="1"/>
                <c:pt idx="0">
                  <c:v>Pseudomonas Sp</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Children's Ward</c:v>
                </c:pt>
                <c:pt idx="1">
                  <c:v>Neonatal</c:v>
                </c:pt>
                <c:pt idx="2">
                  <c:v>OPD</c:v>
                </c:pt>
              </c:strCache>
            </c:strRef>
          </c:cat>
          <c:val>
            <c:numRef>
              <c:f>Sheet1!$C$2:$C$4</c:f>
              <c:numCache>
                <c:formatCode>General</c:formatCode>
                <c:ptCount val="3"/>
                <c:pt idx="0">
                  <c:v>13</c:v>
                </c:pt>
                <c:pt idx="1">
                  <c:v>6</c:v>
                </c:pt>
                <c:pt idx="2">
                  <c:v>3</c:v>
                </c:pt>
              </c:numCache>
            </c:numRef>
          </c:val>
          <c:extLst>
            <c:ext xmlns:c16="http://schemas.microsoft.com/office/drawing/2014/chart" uri="{C3380CC4-5D6E-409C-BE32-E72D297353CC}">
              <c16:uniqueId val="{00000001-3D95-45A9-AEAB-ED7055E4074F}"/>
            </c:ext>
          </c:extLst>
        </c:ser>
        <c:ser>
          <c:idx val="2"/>
          <c:order val="2"/>
          <c:tx>
            <c:strRef>
              <c:f>Sheet1!$D$1</c:f>
              <c:strCache>
                <c:ptCount val="1"/>
                <c:pt idx="0">
                  <c:v>Bacillus Sp</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Children's Ward</c:v>
                </c:pt>
                <c:pt idx="1">
                  <c:v>Neonatal</c:v>
                </c:pt>
                <c:pt idx="2">
                  <c:v>OPD</c:v>
                </c:pt>
              </c:strCache>
            </c:strRef>
          </c:cat>
          <c:val>
            <c:numRef>
              <c:f>Sheet1!$D$2:$D$4</c:f>
              <c:numCache>
                <c:formatCode>General</c:formatCode>
                <c:ptCount val="3"/>
                <c:pt idx="0">
                  <c:v>9</c:v>
                </c:pt>
                <c:pt idx="1">
                  <c:v>0</c:v>
                </c:pt>
                <c:pt idx="2">
                  <c:v>2</c:v>
                </c:pt>
              </c:numCache>
            </c:numRef>
          </c:val>
          <c:extLst>
            <c:ext xmlns:c16="http://schemas.microsoft.com/office/drawing/2014/chart" uri="{C3380CC4-5D6E-409C-BE32-E72D297353CC}">
              <c16:uniqueId val="{00000002-3D95-45A9-AEAB-ED7055E4074F}"/>
            </c:ext>
          </c:extLst>
        </c:ser>
        <c:ser>
          <c:idx val="3"/>
          <c:order val="3"/>
          <c:tx>
            <c:strRef>
              <c:f>Sheet1!$E$1</c:f>
              <c:strCache>
                <c:ptCount val="1"/>
                <c:pt idx="0">
                  <c:v>Enterobacter</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Children's Ward</c:v>
                </c:pt>
                <c:pt idx="1">
                  <c:v>Neonatal</c:v>
                </c:pt>
                <c:pt idx="2">
                  <c:v>OPD</c:v>
                </c:pt>
              </c:strCache>
            </c:strRef>
          </c:cat>
          <c:val>
            <c:numRef>
              <c:f>Sheet1!$E$2:$E$4</c:f>
              <c:numCache>
                <c:formatCode>General</c:formatCode>
                <c:ptCount val="3"/>
                <c:pt idx="0">
                  <c:v>1</c:v>
                </c:pt>
                <c:pt idx="1">
                  <c:v>2</c:v>
                </c:pt>
                <c:pt idx="2">
                  <c:v>0</c:v>
                </c:pt>
              </c:numCache>
            </c:numRef>
          </c:val>
          <c:extLst>
            <c:ext xmlns:c16="http://schemas.microsoft.com/office/drawing/2014/chart" uri="{C3380CC4-5D6E-409C-BE32-E72D297353CC}">
              <c16:uniqueId val="{00000003-3D95-45A9-AEAB-ED7055E4074F}"/>
            </c:ext>
          </c:extLst>
        </c:ser>
        <c:ser>
          <c:idx val="4"/>
          <c:order val="4"/>
          <c:tx>
            <c:strRef>
              <c:f>Sheet1!$F$1</c:f>
              <c:strCache>
                <c:ptCount val="1"/>
                <c:pt idx="0">
                  <c:v>E. coli</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Children's Ward</c:v>
                </c:pt>
                <c:pt idx="1">
                  <c:v>Neonatal</c:v>
                </c:pt>
                <c:pt idx="2">
                  <c:v>OPD</c:v>
                </c:pt>
              </c:strCache>
            </c:strRef>
          </c:cat>
          <c:val>
            <c:numRef>
              <c:f>Sheet1!$F$2:$F$4</c:f>
              <c:numCache>
                <c:formatCode>General</c:formatCode>
                <c:ptCount val="3"/>
                <c:pt idx="0">
                  <c:v>3</c:v>
                </c:pt>
                <c:pt idx="1">
                  <c:v>0</c:v>
                </c:pt>
                <c:pt idx="2">
                  <c:v>0</c:v>
                </c:pt>
              </c:numCache>
            </c:numRef>
          </c:val>
          <c:extLst>
            <c:ext xmlns:c16="http://schemas.microsoft.com/office/drawing/2014/chart" uri="{C3380CC4-5D6E-409C-BE32-E72D297353CC}">
              <c16:uniqueId val="{00000004-3D95-45A9-AEAB-ED7055E4074F}"/>
            </c:ext>
          </c:extLst>
        </c:ser>
        <c:dLbls>
          <c:dLblPos val="outEnd"/>
          <c:showLegendKey val="0"/>
          <c:showVal val="1"/>
          <c:showCatName val="0"/>
          <c:showSerName val="0"/>
          <c:showPercent val="0"/>
          <c:showBubbleSize val="0"/>
        </c:dLbls>
        <c:gapWidth val="219"/>
        <c:overlap val="-27"/>
        <c:axId val="222149535"/>
        <c:axId val="222153375"/>
      </c:barChart>
      <c:catAx>
        <c:axId val="222149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WARD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153375"/>
        <c:crosses val="autoZero"/>
        <c:auto val="1"/>
        <c:lblAlgn val="ctr"/>
        <c:lblOffset val="100"/>
        <c:noMultiLvlLbl val="0"/>
      </c:catAx>
      <c:valAx>
        <c:axId val="222153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Abundance of Bacteria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149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ABUNDANCE OF EACH BACTERIA</a:t>
            </a:r>
            <a:r>
              <a:rPr lang="en-US" baseline="0"/>
              <a:t> IN THE </a:t>
            </a:r>
            <a:r>
              <a:rPr lang="en-GB" baseline="0"/>
              <a:t>HOSPITAL WARDS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Staphylococcus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8</c:v>
                </c:pt>
              </c:numCache>
            </c:numRef>
          </c:val>
          <c:extLst>
            <c:ext xmlns:c16="http://schemas.microsoft.com/office/drawing/2014/chart" uri="{C3380CC4-5D6E-409C-BE32-E72D297353CC}">
              <c16:uniqueId val="{00000000-B714-4896-8F44-DA9D5F2250F3}"/>
            </c:ext>
          </c:extLst>
        </c:ser>
        <c:ser>
          <c:idx val="1"/>
          <c:order val="1"/>
          <c:tx>
            <c:strRef>
              <c:f>Sheet1!$C$1</c:f>
              <c:strCache>
                <c:ptCount val="1"/>
                <c:pt idx="0">
                  <c:v>Pseudomonas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22</c:v>
                </c:pt>
              </c:numCache>
            </c:numRef>
          </c:val>
          <c:extLst>
            <c:ext xmlns:c16="http://schemas.microsoft.com/office/drawing/2014/chart" uri="{C3380CC4-5D6E-409C-BE32-E72D297353CC}">
              <c16:uniqueId val="{00000001-B714-4896-8F44-DA9D5F2250F3}"/>
            </c:ext>
          </c:extLst>
        </c:ser>
        <c:ser>
          <c:idx val="2"/>
          <c:order val="2"/>
          <c:tx>
            <c:strRef>
              <c:f>Sheet1!$D$1</c:f>
              <c:strCache>
                <c:ptCount val="1"/>
                <c:pt idx="0">
                  <c:v>Bacillus Sp</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11</c:v>
                </c:pt>
              </c:numCache>
            </c:numRef>
          </c:val>
          <c:extLst>
            <c:ext xmlns:c16="http://schemas.microsoft.com/office/drawing/2014/chart" uri="{C3380CC4-5D6E-409C-BE32-E72D297353CC}">
              <c16:uniqueId val="{00000002-B714-4896-8F44-DA9D5F2250F3}"/>
            </c:ext>
          </c:extLst>
        </c:ser>
        <c:ser>
          <c:idx val="3"/>
          <c:order val="3"/>
          <c:tx>
            <c:strRef>
              <c:f>Sheet1!$E$1</c:f>
              <c:strCache>
                <c:ptCount val="1"/>
                <c:pt idx="0">
                  <c:v>Enterobacter Sp</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3</c:v>
                </c:pt>
              </c:numCache>
            </c:numRef>
          </c:val>
          <c:extLst>
            <c:ext xmlns:c16="http://schemas.microsoft.com/office/drawing/2014/chart" uri="{C3380CC4-5D6E-409C-BE32-E72D297353CC}">
              <c16:uniqueId val="{00000003-B714-4896-8F44-DA9D5F2250F3}"/>
            </c:ext>
          </c:extLst>
        </c:ser>
        <c:ser>
          <c:idx val="4"/>
          <c:order val="4"/>
          <c:tx>
            <c:strRef>
              <c:f>Sheet1!$F$1</c:f>
              <c:strCache>
                <c:ptCount val="1"/>
                <c:pt idx="0">
                  <c:v>E. coli</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3</c:v>
                </c:pt>
              </c:numCache>
            </c:numRef>
          </c:val>
          <c:extLst>
            <c:ext xmlns:c16="http://schemas.microsoft.com/office/drawing/2014/chart" uri="{C3380CC4-5D6E-409C-BE32-E72D297353CC}">
              <c16:uniqueId val="{00000004-B714-4896-8F44-DA9D5F2250F3}"/>
            </c:ext>
          </c:extLst>
        </c:ser>
        <c:dLbls>
          <c:dLblPos val="outEnd"/>
          <c:showLegendKey val="0"/>
          <c:showVal val="1"/>
          <c:showCatName val="0"/>
          <c:showSerName val="0"/>
          <c:showPercent val="0"/>
          <c:showBubbleSize val="0"/>
        </c:dLbls>
        <c:gapWidth val="219"/>
        <c:overlap val="-27"/>
        <c:axId val="1686212879"/>
        <c:axId val="1686197999"/>
      </c:barChart>
      <c:catAx>
        <c:axId val="1686212879"/>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Bacteria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6197999"/>
        <c:crosses val="autoZero"/>
        <c:auto val="1"/>
        <c:lblAlgn val="ctr"/>
        <c:lblOffset val="100"/>
        <c:noMultiLvlLbl val="0"/>
      </c:catAx>
      <c:valAx>
        <c:axId val="168619799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Relative </a:t>
                </a:r>
                <a:r>
                  <a:rPr lang="en-GB" sz="1000" b="0" i="0" u="none" strike="noStrike" kern="1200" baseline="0">
                    <a:solidFill>
                      <a:sysClr val="windowText" lastClr="000000">
                        <a:lumMod val="65000"/>
                        <a:lumOff val="35000"/>
                      </a:sysClr>
                    </a:solidFill>
                  </a:rPr>
                  <a:t>Abundance of Bacteria</a:t>
                </a:r>
                <a:endParaRPr lang="en-US" sz="1000" b="0" i="0" u="none" strike="noStrike" kern="1200" baseline="0">
                  <a:solidFill>
                    <a:sysClr val="windowText" lastClr="000000">
                      <a:lumMod val="65000"/>
                      <a:lumOff val="35000"/>
                    </a:sysClr>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6212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ABUNDANCE OF BACTERIA IN THE HOSPITAL WARDS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Neonatal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15</c:v>
                </c:pt>
              </c:numCache>
            </c:numRef>
          </c:val>
          <c:extLst>
            <c:ext xmlns:c16="http://schemas.microsoft.com/office/drawing/2014/chart" uri="{C3380CC4-5D6E-409C-BE32-E72D297353CC}">
              <c16:uniqueId val="{00000000-4100-4470-98E2-E8AC2530EAB6}"/>
            </c:ext>
          </c:extLst>
        </c:ser>
        <c:ser>
          <c:idx val="1"/>
          <c:order val="1"/>
          <c:tx>
            <c:strRef>
              <c:f>Sheet1!$C$1</c:f>
              <c:strCache>
                <c:ptCount val="1"/>
                <c:pt idx="0">
                  <c:v>Children's Ward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27</c:v>
                </c:pt>
              </c:numCache>
            </c:numRef>
          </c:val>
          <c:extLst>
            <c:ext xmlns:c16="http://schemas.microsoft.com/office/drawing/2014/chart" uri="{C3380CC4-5D6E-409C-BE32-E72D297353CC}">
              <c16:uniqueId val="{00000001-4100-4470-98E2-E8AC2530EAB6}"/>
            </c:ext>
          </c:extLst>
        </c:ser>
        <c:ser>
          <c:idx val="2"/>
          <c:order val="2"/>
          <c:tx>
            <c:strRef>
              <c:f>Sheet1!$D$1</c:f>
              <c:strCache>
                <c:ptCount val="1"/>
                <c:pt idx="0">
                  <c:v>OPD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5</c:v>
                </c:pt>
              </c:numCache>
            </c:numRef>
          </c:val>
          <c:extLst>
            <c:ext xmlns:c16="http://schemas.microsoft.com/office/drawing/2014/chart" uri="{C3380CC4-5D6E-409C-BE32-E72D297353CC}">
              <c16:uniqueId val="{00000002-4100-4470-98E2-E8AC2530EAB6}"/>
            </c:ext>
          </c:extLst>
        </c:ser>
        <c:dLbls>
          <c:dLblPos val="outEnd"/>
          <c:showLegendKey val="0"/>
          <c:showVal val="1"/>
          <c:showCatName val="0"/>
          <c:showSerName val="0"/>
          <c:showPercent val="0"/>
          <c:showBubbleSize val="0"/>
        </c:dLbls>
        <c:gapWidth val="219"/>
        <c:overlap val="-27"/>
        <c:axId val="1776010079"/>
        <c:axId val="1776022079"/>
      </c:barChart>
      <c:catAx>
        <c:axId val="1776010079"/>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Ward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6022079"/>
        <c:crosses val="autoZero"/>
        <c:auto val="1"/>
        <c:lblAlgn val="ctr"/>
        <c:lblOffset val="100"/>
        <c:noMultiLvlLbl val="0"/>
      </c:catAx>
      <c:valAx>
        <c:axId val="177602207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Abundance of Bacteria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60100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ABUNDANCE OF</a:t>
            </a:r>
            <a:r>
              <a:rPr lang="en-GB" baseline="0"/>
              <a:t> FUNGI IN EACH HOSPITAL WARD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 niger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Neonatal</c:v>
                </c:pt>
                <c:pt idx="1">
                  <c:v>Children's Ward</c:v>
                </c:pt>
                <c:pt idx="2">
                  <c:v>OPD</c:v>
                </c:pt>
              </c:strCache>
            </c:strRef>
          </c:cat>
          <c:val>
            <c:numRef>
              <c:f>Sheet1!$B$2:$B$4</c:f>
              <c:numCache>
                <c:formatCode>General</c:formatCode>
                <c:ptCount val="3"/>
                <c:pt idx="0">
                  <c:v>33</c:v>
                </c:pt>
                <c:pt idx="1">
                  <c:v>18</c:v>
                </c:pt>
                <c:pt idx="2">
                  <c:v>13</c:v>
                </c:pt>
              </c:numCache>
            </c:numRef>
          </c:val>
          <c:extLst>
            <c:ext xmlns:c16="http://schemas.microsoft.com/office/drawing/2014/chart" uri="{C3380CC4-5D6E-409C-BE32-E72D297353CC}">
              <c16:uniqueId val="{00000000-EC98-48B7-AAE7-70C2D612627E}"/>
            </c:ext>
          </c:extLst>
        </c:ser>
        <c:ser>
          <c:idx val="1"/>
          <c:order val="1"/>
          <c:tx>
            <c:strRef>
              <c:f>Sheet1!$C$1</c:f>
              <c:strCache>
                <c:ptCount val="1"/>
                <c:pt idx="0">
                  <c:v>A. fumigatus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Neonatal</c:v>
                </c:pt>
                <c:pt idx="1">
                  <c:v>Children's Ward</c:v>
                </c:pt>
                <c:pt idx="2">
                  <c:v>OPD</c:v>
                </c:pt>
              </c:strCache>
            </c:strRef>
          </c:cat>
          <c:val>
            <c:numRef>
              <c:f>Sheet1!$C$2:$C$4</c:f>
              <c:numCache>
                <c:formatCode>General</c:formatCode>
                <c:ptCount val="3"/>
                <c:pt idx="0">
                  <c:v>45</c:v>
                </c:pt>
                <c:pt idx="1">
                  <c:v>133</c:v>
                </c:pt>
                <c:pt idx="2">
                  <c:v>20</c:v>
                </c:pt>
              </c:numCache>
            </c:numRef>
          </c:val>
          <c:extLst>
            <c:ext xmlns:c16="http://schemas.microsoft.com/office/drawing/2014/chart" uri="{C3380CC4-5D6E-409C-BE32-E72D297353CC}">
              <c16:uniqueId val="{00000001-EC98-48B7-AAE7-70C2D612627E}"/>
            </c:ext>
          </c:extLst>
        </c:ser>
        <c:ser>
          <c:idx val="2"/>
          <c:order val="2"/>
          <c:tx>
            <c:strRef>
              <c:f>Sheet1!$D$1</c:f>
              <c:strCache>
                <c:ptCount val="1"/>
                <c:pt idx="0">
                  <c:v>Colletotrichum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Neonatal</c:v>
                </c:pt>
                <c:pt idx="1">
                  <c:v>Children's Ward</c:v>
                </c:pt>
                <c:pt idx="2">
                  <c:v>OPD</c:v>
                </c:pt>
              </c:strCache>
            </c:strRef>
          </c:cat>
          <c:val>
            <c:numRef>
              <c:f>Sheet1!$D$2:$D$4</c:f>
              <c:numCache>
                <c:formatCode>General</c:formatCode>
                <c:ptCount val="3"/>
                <c:pt idx="0">
                  <c:v>4</c:v>
                </c:pt>
                <c:pt idx="1">
                  <c:v>8</c:v>
                </c:pt>
                <c:pt idx="2">
                  <c:v>2</c:v>
                </c:pt>
              </c:numCache>
            </c:numRef>
          </c:val>
          <c:extLst>
            <c:ext xmlns:c16="http://schemas.microsoft.com/office/drawing/2014/chart" uri="{C3380CC4-5D6E-409C-BE32-E72D297353CC}">
              <c16:uniqueId val="{00000002-EC98-48B7-AAE7-70C2D612627E}"/>
            </c:ext>
          </c:extLst>
        </c:ser>
        <c:ser>
          <c:idx val="3"/>
          <c:order val="3"/>
          <c:tx>
            <c:strRef>
              <c:f>Sheet1!$E$1</c:f>
              <c:strCache>
                <c:ptCount val="1"/>
                <c:pt idx="0">
                  <c:v>Penicilum </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Neonatal</c:v>
                </c:pt>
                <c:pt idx="1">
                  <c:v>Children's Ward</c:v>
                </c:pt>
                <c:pt idx="2">
                  <c:v>OPD</c:v>
                </c:pt>
              </c:strCache>
            </c:strRef>
          </c:cat>
          <c:val>
            <c:numRef>
              <c:f>Sheet1!$E$2:$E$4</c:f>
              <c:numCache>
                <c:formatCode>General</c:formatCode>
                <c:ptCount val="3"/>
                <c:pt idx="0">
                  <c:v>3</c:v>
                </c:pt>
                <c:pt idx="1">
                  <c:v>0</c:v>
                </c:pt>
                <c:pt idx="2">
                  <c:v>0</c:v>
                </c:pt>
              </c:numCache>
            </c:numRef>
          </c:val>
          <c:extLst>
            <c:ext xmlns:c16="http://schemas.microsoft.com/office/drawing/2014/chart" uri="{C3380CC4-5D6E-409C-BE32-E72D297353CC}">
              <c16:uniqueId val="{00000003-EC98-48B7-AAE7-70C2D612627E}"/>
            </c:ext>
          </c:extLst>
        </c:ser>
        <c:ser>
          <c:idx val="4"/>
          <c:order val="4"/>
          <c:tx>
            <c:strRef>
              <c:f>Sheet1!$F$1</c:f>
              <c:strCache>
                <c:ptCount val="1"/>
                <c:pt idx="0">
                  <c:v>A.flavus </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Neonatal</c:v>
                </c:pt>
                <c:pt idx="1">
                  <c:v>Children's Ward</c:v>
                </c:pt>
                <c:pt idx="2">
                  <c:v>OPD</c:v>
                </c:pt>
              </c:strCache>
            </c:strRef>
          </c:cat>
          <c:val>
            <c:numRef>
              <c:f>Sheet1!$F$2:$F$4</c:f>
              <c:numCache>
                <c:formatCode>General</c:formatCode>
                <c:ptCount val="3"/>
                <c:pt idx="0">
                  <c:v>1</c:v>
                </c:pt>
                <c:pt idx="1">
                  <c:v>0</c:v>
                </c:pt>
                <c:pt idx="2">
                  <c:v>0</c:v>
                </c:pt>
              </c:numCache>
            </c:numRef>
          </c:val>
          <c:extLst>
            <c:ext xmlns:c16="http://schemas.microsoft.com/office/drawing/2014/chart" uri="{C3380CC4-5D6E-409C-BE32-E72D297353CC}">
              <c16:uniqueId val="{00000004-EC98-48B7-AAE7-70C2D612627E}"/>
            </c:ext>
          </c:extLst>
        </c:ser>
        <c:ser>
          <c:idx val="5"/>
          <c:order val="5"/>
          <c:tx>
            <c:strRef>
              <c:f>Sheet1!$G$1</c:f>
              <c:strCache>
                <c:ptCount val="1"/>
                <c:pt idx="0">
                  <c:v>Curvularia</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Neonatal</c:v>
                </c:pt>
                <c:pt idx="1">
                  <c:v>Children's Ward</c:v>
                </c:pt>
                <c:pt idx="2">
                  <c:v>OPD</c:v>
                </c:pt>
              </c:strCache>
            </c:strRef>
          </c:cat>
          <c:val>
            <c:numRef>
              <c:f>Sheet1!$G$2:$G$4</c:f>
              <c:numCache>
                <c:formatCode>General</c:formatCode>
                <c:ptCount val="3"/>
                <c:pt idx="0">
                  <c:v>1</c:v>
                </c:pt>
                <c:pt idx="1">
                  <c:v>0</c:v>
                </c:pt>
                <c:pt idx="2">
                  <c:v>3</c:v>
                </c:pt>
              </c:numCache>
            </c:numRef>
          </c:val>
          <c:extLst>
            <c:ext xmlns:c16="http://schemas.microsoft.com/office/drawing/2014/chart" uri="{C3380CC4-5D6E-409C-BE32-E72D297353CC}">
              <c16:uniqueId val="{00000005-EC98-48B7-AAE7-70C2D612627E}"/>
            </c:ext>
          </c:extLst>
        </c:ser>
        <c:dLbls>
          <c:dLblPos val="outEnd"/>
          <c:showLegendKey val="0"/>
          <c:showVal val="1"/>
          <c:showCatName val="0"/>
          <c:showSerName val="0"/>
          <c:showPercent val="0"/>
          <c:showBubbleSize val="0"/>
        </c:dLbls>
        <c:gapWidth val="219"/>
        <c:overlap val="-27"/>
        <c:axId val="799453535"/>
        <c:axId val="799449695"/>
      </c:barChart>
      <c:catAx>
        <c:axId val="79945353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Hospital Ward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449695"/>
        <c:crosses val="autoZero"/>
        <c:auto val="1"/>
        <c:lblAlgn val="ctr"/>
        <c:lblOffset val="100"/>
        <c:noMultiLvlLbl val="0"/>
      </c:catAx>
      <c:valAx>
        <c:axId val="79944969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a:t>
                </a:r>
                <a:r>
                  <a:rPr lang="en-GB" baseline="0"/>
                  <a:t>Abundance of Fungi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453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ABUNDANCE OF EACH</a:t>
            </a:r>
            <a:r>
              <a:rPr lang="en-GB" baseline="0"/>
              <a:t> FUNGI IN THE HOSPITAL WARDS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 niger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64</c:v>
                </c:pt>
              </c:numCache>
            </c:numRef>
          </c:val>
          <c:extLst>
            <c:ext xmlns:c16="http://schemas.microsoft.com/office/drawing/2014/chart" uri="{C3380CC4-5D6E-409C-BE32-E72D297353CC}">
              <c16:uniqueId val="{00000000-A180-4CA5-A52A-7A90CD510984}"/>
            </c:ext>
          </c:extLst>
        </c:ser>
        <c:ser>
          <c:idx val="1"/>
          <c:order val="1"/>
          <c:tx>
            <c:strRef>
              <c:f>Sheet1!$C$1</c:f>
              <c:strCache>
                <c:ptCount val="1"/>
                <c:pt idx="0">
                  <c:v>A. fumigatus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198</c:v>
                </c:pt>
              </c:numCache>
            </c:numRef>
          </c:val>
          <c:extLst>
            <c:ext xmlns:c16="http://schemas.microsoft.com/office/drawing/2014/chart" uri="{C3380CC4-5D6E-409C-BE32-E72D297353CC}">
              <c16:uniqueId val="{00000001-A180-4CA5-A52A-7A90CD510984}"/>
            </c:ext>
          </c:extLst>
        </c:ser>
        <c:ser>
          <c:idx val="2"/>
          <c:order val="2"/>
          <c:tx>
            <c:strRef>
              <c:f>Sheet1!$D$1</c:f>
              <c:strCache>
                <c:ptCount val="1"/>
                <c:pt idx="0">
                  <c:v>Colletotrichum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14</c:v>
                </c:pt>
              </c:numCache>
            </c:numRef>
          </c:val>
          <c:extLst>
            <c:ext xmlns:c16="http://schemas.microsoft.com/office/drawing/2014/chart" uri="{C3380CC4-5D6E-409C-BE32-E72D297353CC}">
              <c16:uniqueId val="{00000002-A180-4CA5-A52A-7A90CD510984}"/>
            </c:ext>
          </c:extLst>
        </c:ser>
        <c:ser>
          <c:idx val="3"/>
          <c:order val="3"/>
          <c:tx>
            <c:strRef>
              <c:f>Sheet1!$E$1</c:f>
              <c:strCache>
                <c:ptCount val="1"/>
                <c:pt idx="0">
                  <c:v>Penicilum </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3</c:v>
                </c:pt>
              </c:numCache>
            </c:numRef>
          </c:val>
          <c:extLst>
            <c:ext xmlns:c16="http://schemas.microsoft.com/office/drawing/2014/chart" uri="{C3380CC4-5D6E-409C-BE32-E72D297353CC}">
              <c16:uniqueId val="{00000003-A180-4CA5-A52A-7A90CD510984}"/>
            </c:ext>
          </c:extLst>
        </c:ser>
        <c:ser>
          <c:idx val="4"/>
          <c:order val="4"/>
          <c:tx>
            <c:strRef>
              <c:f>Sheet1!$F$1</c:f>
              <c:strCache>
                <c:ptCount val="1"/>
                <c:pt idx="0">
                  <c:v>A.flavus </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1</c:v>
                </c:pt>
              </c:numCache>
            </c:numRef>
          </c:val>
          <c:extLst>
            <c:ext xmlns:c16="http://schemas.microsoft.com/office/drawing/2014/chart" uri="{C3380CC4-5D6E-409C-BE32-E72D297353CC}">
              <c16:uniqueId val="{00000004-A180-4CA5-A52A-7A90CD510984}"/>
            </c:ext>
          </c:extLst>
        </c:ser>
        <c:ser>
          <c:idx val="5"/>
          <c:order val="5"/>
          <c:tx>
            <c:strRef>
              <c:f>Sheet1!$G$1</c:f>
              <c:strCache>
                <c:ptCount val="1"/>
                <c:pt idx="0">
                  <c:v>Curvularia</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Sheet1!$G$2</c:f>
              <c:numCache>
                <c:formatCode>General</c:formatCode>
                <c:ptCount val="1"/>
                <c:pt idx="0">
                  <c:v>4</c:v>
                </c:pt>
              </c:numCache>
            </c:numRef>
          </c:val>
          <c:extLst>
            <c:ext xmlns:c16="http://schemas.microsoft.com/office/drawing/2014/chart" uri="{C3380CC4-5D6E-409C-BE32-E72D297353CC}">
              <c16:uniqueId val="{00000005-A180-4CA5-A52A-7A90CD510984}"/>
            </c:ext>
          </c:extLst>
        </c:ser>
        <c:dLbls>
          <c:dLblPos val="outEnd"/>
          <c:showLegendKey val="0"/>
          <c:showVal val="1"/>
          <c:showCatName val="0"/>
          <c:showSerName val="0"/>
          <c:showPercent val="0"/>
          <c:showBubbleSize val="0"/>
        </c:dLbls>
        <c:gapWidth val="219"/>
        <c:overlap val="-27"/>
        <c:axId val="799453535"/>
        <c:axId val="799449695"/>
      </c:barChart>
      <c:catAx>
        <c:axId val="79945353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Fungi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449695"/>
        <c:crosses val="autoZero"/>
        <c:auto val="1"/>
        <c:lblAlgn val="ctr"/>
        <c:lblOffset val="100"/>
        <c:noMultiLvlLbl val="0"/>
      </c:catAx>
      <c:valAx>
        <c:axId val="79944969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a:t>
                </a:r>
                <a:r>
                  <a:rPr lang="en-GB" baseline="0"/>
                  <a:t>Abundance of Fungi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453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ABUNDANCE</a:t>
            </a:r>
            <a:r>
              <a:rPr lang="en-US" baseline="0"/>
              <a:t> OF FUNGI IN THE HOSPITAL WARDS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Neonatal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87</c:v>
                </c:pt>
              </c:numCache>
            </c:numRef>
          </c:val>
          <c:extLst>
            <c:ext xmlns:c16="http://schemas.microsoft.com/office/drawing/2014/chart" uri="{C3380CC4-5D6E-409C-BE32-E72D297353CC}">
              <c16:uniqueId val="{00000000-C059-4B78-B1C0-EA7FA74A9E20}"/>
            </c:ext>
          </c:extLst>
        </c:ser>
        <c:ser>
          <c:idx val="1"/>
          <c:order val="1"/>
          <c:tx>
            <c:strRef>
              <c:f>Sheet1!$C$1</c:f>
              <c:strCache>
                <c:ptCount val="1"/>
                <c:pt idx="0">
                  <c:v>Children's Ward</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159</c:v>
                </c:pt>
              </c:numCache>
            </c:numRef>
          </c:val>
          <c:extLst>
            <c:ext xmlns:c16="http://schemas.microsoft.com/office/drawing/2014/chart" uri="{C3380CC4-5D6E-409C-BE32-E72D297353CC}">
              <c16:uniqueId val="{00000001-C059-4B78-B1C0-EA7FA74A9E20}"/>
            </c:ext>
          </c:extLst>
        </c:ser>
        <c:ser>
          <c:idx val="2"/>
          <c:order val="2"/>
          <c:tx>
            <c:strRef>
              <c:f>Sheet1!$D$1</c:f>
              <c:strCache>
                <c:ptCount val="1"/>
                <c:pt idx="0">
                  <c:v>OPD</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38</c:v>
                </c:pt>
              </c:numCache>
            </c:numRef>
          </c:val>
          <c:extLst>
            <c:ext xmlns:c16="http://schemas.microsoft.com/office/drawing/2014/chart" uri="{C3380CC4-5D6E-409C-BE32-E72D297353CC}">
              <c16:uniqueId val="{00000002-C059-4B78-B1C0-EA7FA74A9E20}"/>
            </c:ext>
          </c:extLst>
        </c:ser>
        <c:dLbls>
          <c:dLblPos val="outEnd"/>
          <c:showLegendKey val="0"/>
          <c:showVal val="1"/>
          <c:showCatName val="0"/>
          <c:showSerName val="0"/>
          <c:showPercent val="0"/>
          <c:showBubbleSize val="0"/>
        </c:dLbls>
        <c:gapWidth val="219"/>
        <c:overlap val="-27"/>
        <c:axId val="839994095"/>
        <c:axId val="839985455"/>
      </c:barChart>
      <c:catAx>
        <c:axId val="83999409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985455"/>
        <c:crosses val="autoZero"/>
        <c:auto val="1"/>
        <c:lblAlgn val="ctr"/>
        <c:lblOffset val="100"/>
        <c:noMultiLvlLbl val="0"/>
      </c:catAx>
      <c:valAx>
        <c:axId val="83998545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Abundance of Fungi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994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3F9F0-2D90-41B4-8062-BD8391A50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8</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Donkor</dc:creator>
  <cp:keywords/>
  <dc:description/>
  <cp:lastModifiedBy>Derek Donkor</cp:lastModifiedBy>
  <cp:revision>12</cp:revision>
  <dcterms:created xsi:type="dcterms:W3CDTF">2024-07-06T01:59:00Z</dcterms:created>
  <dcterms:modified xsi:type="dcterms:W3CDTF">2024-07-11T18:49:00Z</dcterms:modified>
</cp:coreProperties>
</file>