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t>TRANSITION-STATE</w:t>
        <w:br/>
        <w:t>ZERO TRUST ADOPTION TOOLKIT</w:t>
      </w:r>
    </w:p>
    <w:p>
      <w:pPr>
        <w:jc w:val="center"/>
      </w:pPr>
      <w:r>
        <w:t>A Gap Analysis and Vendor-Neutral Operational Supplement</w:t>
        <w:br/>
        <w:t>for NIST SP 1800-35</w:t>
      </w:r>
    </w:p>
    <w:p>
      <w:pPr>
        <w:pBdr>
          <w:bottom w:val="single" w:sz="6" w:space="8" w:color="44403C"/>
        </w:pBdr>
        <w:spacing w:before="200" w:after="200"/>
      </w:pPr>
    </w:p>
    <w:p>
      <w:pPr>
        <w:spacing w:before="520"/>
        <w:jc w:val="center"/>
      </w:pPr>
      <w:r>
        <w:t>Prepared by Hassan Nawaz</w:t>
      </w:r>
    </w:p>
    <w:p>
      <w:pPr>
        <w:jc w:val="center"/>
      </w:pPr>
      <w:r>
        <w:t>Version 0.1 • Consolidated Community Review Draft • August 2026</w:t>
      </w:r>
    </w:p>
    <w:p>
      <w:pPr>
        <w:spacing w:before="200" w:after="20"/>
        <w:ind w:left="220"/>
      </w:pPr>
      <w:r>
        <w:t>Positioning</w:t>
        <w:br/>
        <w:t>This consolidated document combines a gap analysis with a practical toolkit. It is designed to complement NIST SP 1800-35 by explaining a narrow transition-state implementation need and then providing vendor-neutral worksheets, checklists, test records, assurance reviews, and pilot artifacts that organizations can use while legacy systems and newer zero trust controls coexist. It does not replace, modify, or claim endorsement by NIST, NCCoE, CISA, or any other government entity.</w:t>
      </w:r>
    </w:p>
    <w:p>
      <w:pPr>
        <w:spacing w:before="360"/>
        <w:jc w:val="center"/>
      </w:pPr>
      <w:r>
        <w:t>Primary reference: NIST SP 1800-35, Implementing a Zero Trust Architecture (Final, June 2025)</w:t>
      </w:r>
    </w:p>
    <w:p>
      <w:r>
        <w:br w:type="page"/>
      </w:r>
    </w:p>
    <w:p>
      <w:pPr>
        <w:pStyle w:val="Heading1"/>
      </w:pPr>
      <w:r>
        <w:rPr>
          <w:rFonts w:ascii="Cambria" w:hAnsi="Cambria"/>
          <w:b/>
          <w:i w:val="0"/>
          <w:color w:val="262626"/>
          <w:sz w:val="32"/>
        </w:rPr>
        <w:t>Cover Letter to the NCCoE Zero Trust Architecture Project Team</w:t>
      </w:r>
    </w:p>
    <w:p>
      <w:r>
        <w:t>Dear NCCoE Zero Trust Architecture Project Team,</w:t>
      </w:r>
    </w:p>
    <w:p>
      <w:pPr>
        <w:spacing w:after="140"/>
      </w:pPr>
      <w:r>
        <w:t>I am sharing this consolidated community-review draft as a practical supplement to NIST SP 1800-35, Implementing a Zero Trust Architecture. The guide provides substantial value through its nineteen example implementations, phased zero trust journey, standards mappings, and candid discussion of multi-vendor implementation and integration challenges.</w:t>
      </w:r>
    </w:p>
    <w:p>
      <w:pPr>
        <w:spacing w:after="140"/>
      </w:pPr>
      <w:r>
        <w:t>The narrow problem addressed here is the transition state: the period in which legacy systems, temporary exceptions, hybrid dependencies, partial monitoring, and newer zero trust controls must coexist. The document first explains why this period deserves explicit operational governance, then provides working artifacts that make temporary conditions visible, owned, testable, and retireable.</w:t>
      </w:r>
    </w:p>
    <w:p>
      <w:pPr>
        <w:spacing w:after="140"/>
      </w:pPr>
      <w:r>
        <w:t>The toolkit includes a transition-readiness scorecard, transition-state risk register, data sensitivity and migration sequencing worksheet, multi-vendor integration checklist, reusable validation test cases, handover checklist, 30/60/90-day assurance review, four-week pilot model, and feedback/versioning structure.</w:t>
      </w:r>
    </w:p>
    <w:p>
      <w:pPr>
        <w:spacing w:after="140"/>
      </w:pPr>
      <w:r>
        <w:t>I would value technical feedback on whether the gap analysis is appropriately scoped and whether these artifacts complement SP 1800-35 in a useful, vendor-neutral way, particularly for organizations with limited modernization staff or uneven legacy documentation.</w:t>
      </w:r>
    </w:p>
    <w:p>
      <w:pPr>
        <w:spacing w:after="140"/>
      </w:pPr>
      <w:r>
        <w:t>This draft makes no claim of NIST or NCCoE endorsement. It is offered for practitioner review, testing, and improvement.</w:t>
      </w:r>
    </w:p>
    <w:p>
      <w:pPr>
        <w:spacing w:before="160"/>
      </w:pPr>
      <w:r>
        <w:rPr>
          <w:rFonts w:ascii="Cambria" w:hAnsi="Cambria"/>
          <w:b w:val="0"/>
          <w:i w:val="0"/>
          <w:color w:val="262626"/>
          <w:sz w:val="21"/>
        </w:rPr>
        <w:t>Respectfully,</w:t>
      </w:r>
    </w:p>
    <w:p>
      <w:r>
        <w:rPr>
          <w:rFonts w:ascii="Cambria" w:hAnsi="Cambria"/>
          <w:b/>
          <w:i w:val="0"/>
          <w:color w:val="262626"/>
          <w:sz w:val="21"/>
        </w:rPr>
        <w:t>Hassan Nawaz</w:t>
      </w:r>
      <w:r>
        <w:rPr>
          <w:rFonts w:ascii="Cambria" w:hAnsi="Cambria"/>
          <w:b w:val="0"/>
          <w:i w:val="0"/>
          <w:color w:val="4A453D"/>
          <w:sz w:val="19"/>
        </w:rPr>
        <w:br/>
        <w:t>Cloud Infrastructure &amp; Modernization Practitioner</w:t>
      </w:r>
    </w:p>
    <w:p>
      <w:r>
        <w:br w:type="page"/>
      </w:r>
    </w:p>
    <w:p>
      <w:pPr>
        <w:pStyle w:val="Heading1"/>
      </w:pPr>
      <w:r>
        <w:rPr>
          <w:rFonts w:ascii="Cambria" w:hAnsi="Cambria"/>
          <w:b/>
          <w:i w:val="0"/>
          <w:color w:val="262626"/>
          <w:sz w:val="32"/>
        </w:rPr>
        <w:t>1. Executive Summary</w:t>
      </w:r>
    </w:p>
    <w:p>
      <w:pPr>
        <w:spacing w:after="160"/>
      </w:pPr>
      <w:r>
        <w:t>This consolidated edition combines the implementation rationale, scope boundaries, and reviewer-facing gap analysis with the full set of operational toolkit templates.</w:t>
      </w:r>
    </w:p>
    <w:p>
      <w:r>
        <w:rPr>
          <w:rFonts w:ascii="Cambria" w:hAnsi="Cambria"/>
          <w:b w:val="0"/>
          <w:i w:val="0"/>
          <w:color w:val="262626"/>
          <w:sz w:val="21"/>
        </w:rPr>
        <w:t>NIST SP 1800-35 explains that organizations should evolve existing environments toward Zero Trust incrementally and that there is no single implementation approach that fits all organizations. It also identifies recurring obstacles: limited resources for transition planning, training gaps, incomplete asset visibility, fragmented policy, and integration limitations across technologies.</w:t>
      </w:r>
    </w:p>
    <w:p>
      <w:r>
        <w:rPr>
          <w:rFonts w:ascii="Cambria" w:hAnsi="Cambria"/>
          <w:b w:val="0"/>
          <w:i w:val="0"/>
          <w:color w:val="262626"/>
          <w:sz w:val="21"/>
        </w:rPr>
        <w:t>This toolkit converts those recognized implementation challenges into working forms that a modernization team can use during planning, migration, validation, and handover. The central design principle is simple: temporary risk should be visible, owned, monitored, and retired rather than allowed to become a permanent operating condition.</w:t>
      </w:r>
    </w:p>
    <w:p>
      <w:pPr>
        <w:pStyle w:val="Heading2"/>
      </w:pPr>
      <w:r>
        <w:rPr>
          <w:rFonts w:ascii="Cambria" w:hAnsi="Cambria"/>
          <w:b/>
          <w:i w:val="0"/>
          <w:color w:val="262626"/>
          <w:sz w:val="25"/>
        </w:rPr>
        <w:t>Toolkit Components</w:t>
      </w:r>
    </w:p>
    <w:p>
      <w:pPr>
        <w:spacing w:after="40"/>
      </w:pPr>
      <w:r>
        <w:rPr>
          <w:rFonts w:ascii="Cambria" w:hAnsi="Cambria"/>
          <w:b w:val="0"/>
          <w:i w:val="0"/>
          <w:color w:val="262626"/>
          <w:sz w:val="20"/>
        </w:rPr>
        <w:t>1.  Zero Trust Transition Readiness Scorecard</w:t>
      </w:r>
    </w:p>
    <w:p>
      <w:pPr>
        <w:spacing w:after="40"/>
      </w:pPr>
      <w:r>
        <w:rPr>
          <w:rFonts w:ascii="Cambria" w:hAnsi="Cambria"/>
          <w:b w:val="0"/>
          <w:i w:val="0"/>
          <w:color w:val="262626"/>
          <w:sz w:val="20"/>
        </w:rPr>
        <w:t>2.  Transition-State Risk Register</w:t>
      </w:r>
    </w:p>
    <w:p>
      <w:pPr>
        <w:spacing w:after="40"/>
      </w:pPr>
      <w:r>
        <w:rPr>
          <w:rFonts w:ascii="Cambria" w:hAnsi="Cambria"/>
          <w:b w:val="0"/>
          <w:i w:val="0"/>
          <w:color w:val="262626"/>
          <w:sz w:val="20"/>
        </w:rPr>
        <w:t>3.  Data Sensitivity &amp; Migration Sequencing Worksheet</w:t>
      </w:r>
    </w:p>
    <w:p>
      <w:pPr>
        <w:spacing w:after="40"/>
      </w:pPr>
      <w:r>
        <w:rPr>
          <w:rFonts w:ascii="Cambria" w:hAnsi="Cambria"/>
          <w:b w:val="0"/>
          <w:i w:val="0"/>
          <w:color w:val="262626"/>
          <w:sz w:val="20"/>
        </w:rPr>
        <w:t>4.  Multi-Vendor Integration Readiness Checklist</w:t>
      </w:r>
    </w:p>
    <w:p>
      <w:pPr>
        <w:spacing w:after="40"/>
      </w:pPr>
      <w:r>
        <w:rPr>
          <w:rFonts w:ascii="Cambria" w:hAnsi="Cambria"/>
          <w:b w:val="0"/>
          <w:i w:val="0"/>
          <w:color w:val="262626"/>
          <w:sz w:val="20"/>
        </w:rPr>
        <w:t>5.  Zero Trust Transition Test Case Library</w:t>
      </w:r>
    </w:p>
    <w:p>
      <w:pPr>
        <w:spacing w:after="40"/>
      </w:pPr>
      <w:r>
        <w:rPr>
          <w:rFonts w:ascii="Cambria" w:hAnsi="Cambria"/>
          <w:b w:val="0"/>
          <w:i w:val="0"/>
          <w:color w:val="262626"/>
          <w:sz w:val="20"/>
        </w:rPr>
        <w:t>6.  Handover &amp; Operating Model Checklist</w:t>
      </w:r>
    </w:p>
    <w:p>
      <w:pPr>
        <w:spacing w:after="40"/>
      </w:pPr>
      <w:r>
        <w:rPr>
          <w:rFonts w:ascii="Cambria" w:hAnsi="Cambria"/>
          <w:b w:val="0"/>
          <w:i w:val="0"/>
          <w:color w:val="262626"/>
          <w:sz w:val="20"/>
        </w:rPr>
        <w:t>7.  30/60/90-Day Post-Migration Assurance Review</w:t>
      </w:r>
    </w:p>
    <w:p>
      <w:pPr>
        <w:spacing w:after="40"/>
      </w:pPr>
      <w:r>
        <w:rPr>
          <w:rFonts w:ascii="Cambria" w:hAnsi="Cambria"/>
          <w:b w:val="0"/>
          <w:i w:val="0"/>
          <w:color w:val="262626"/>
          <w:sz w:val="20"/>
        </w:rPr>
        <w:t>8.  Four-Week Pilot Plan</w:t>
      </w:r>
    </w:p>
    <w:p>
      <w:pPr>
        <w:spacing w:after="40"/>
      </w:pPr>
      <w:r>
        <w:rPr>
          <w:rFonts w:ascii="Cambria" w:hAnsi="Cambria"/>
          <w:b w:val="0"/>
          <w:i w:val="0"/>
          <w:color w:val="262626"/>
          <w:sz w:val="20"/>
        </w:rPr>
        <w:t>9.  Pilot Feedback Form</w:t>
      </w:r>
    </w:p>
    <w:p>
      <w:pPr>
        <w:spacing w:after="40"/>
      </w:pPr>
      <w:r>
        <w:rPr>
          <w:rFonts w:ascii="Cambria" w:hAnsi="Cambria"/>
          <w:b w:val="0"/>
          <w:i w:val="0"/>
          <w:color w:val="262626"/>
          <w:sz w:val="20"/>
        </w:rPr>
        <w:t>10.  GitHub Publication Structure and Versioning Guidance</w:t>
      </w:r>
    </w:p>
    <w:p>
      <w:pPr>
        <w:spacing w:before="200" w:after="20"/>
        <w:ind w:left="220"/>
      </w:pPr>
      <w:r>
        <w:rPr>
          <w:rFonts w:ascii="Cambria" w:hAnsi="Cambria"/>
          <w:b/>
          <w:i w:val="0"/>
          <w:color w:val="262626"/>
          <w:sz w:val="21"/>
        </w:rPr>
        <w:t>Use this document with the downloadable artifacts.</w:t>
      </w:r>
    </w:p>
    <w:p>
      <w:pPr>
        <w:spacing w:before="20" w:after="140"/>
        <w:ind w:left="220"/>
      </w:pPr>
      <w:r>
        <w:rPr>
          <w:rFonts w:ascii="Cambria" w:hAnsi="Cambria"/>
          <w:b w:val="0"/>
          <w:i/>
          <w:color w:val="262626"/>
          <w:sz w:val="19"/>
        </w:rPr>
        <w:t>The Word edition is designed for review, workshops, and stakeholder discussion. The companion XLSX/CSV/Markdown artifacts are better suited to live assessments, data entry, version control, and GitHub distribution.</w:t>
      </w:r>
    </w:p>
    <w:p>
      <w:r>
        <w:br w:type="page"/>
      </w:r>
    </w:p>
    <w:p>
      <w:pPr>
        <w:pStyle w:val="Heading1"/>
      </w:pPr>
      <w:r>
        <w:t>2. Why a Transition-State Supplement Is Needed</w:t>
      </w:r>
    </w:p>
    <w:p>
      <w:pPr/>
      <w:r>
        <w:t>NIST SP 1800-35 already establishes the essential direction: zero trust is an incremental journey, not a single product deployment. It recommends discovery and inventory, mission-aligned access policy, assessment of existing security capabilities, risk-based gap closure, incremental implementation, verification, and continuous improvement.</w:t>
      </w:r>
    </w:p>
    <w:p>
      <w:pPr/>
      <w:r>
        <w:t>The implementation gap addressed by this toolkit is narrower. During modernization, organizations may operate for months or years with legacy identity paths, hybrid dependencies, temporary firewall or access exceptions, incomplete telemetry, and mixed operating ownership. These conditions are not a separate target architecture; they are the temporary operating state that must be governed while the target architecture is being reached.</w:t>
      </w:r>
    </w:p>
    <w:p>
      <w:pPr/>
      <w:r>
        <w:t>The purpose of the toolkit is to turn that middle state into explicit operational evidence: which dependency is blocking segmentation, which exception is temporary, who owns it, when it expires, which workload should migrate first, whether policy components can exchange the required signals, and whether the internal team can operate the environment after handover.</w:t>
      </w:r>
    </w:p>
    <w:p>
      <w:pPr>
        <w:pStyle w:val="Heading2"/>
      </w:pPr>
      <w:r>
        <w:t>2.1 Proposed Supplement at a Glance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096"/>
            <w:tcMar>
              <w:top w:w="70" w:type="dxa"/>
              <w:start w:w="70" w:type="dxa"/>
              <w:bottom w:w="70" w:type="dxa"/>
              <w:end w:w="70" w:type="dxa"/>
            </w:tcMar>
            <w:vAlign w:val="center"/>
            <w:shd w:fill="44403C"/>
          </w:tcPr>
          <w:p>
            <w:pPr>
              <w:spacing w:after="0" w:before="0"/>
            </w:pPr>
            <w:r>
              <w:rPr>
                <w:rFonts w:ascii="Arial" w:hAnsi="Arial"/>
                <w:b/>
                <w:color w:val="FFFFFF"/>
                <w:sz w:val="16"/>
              </w:rPr>
              <w:t>SP 1800-35 implementation theme</w:t>
            </w:r>
          </w:p>
        </w:tc>
        <w:tc>
          <w:tcPr>
            <w:tcW w:type="dxa" w:w="3096"/>
            <w:tcMar>
              <w:top w:w="70" w:type="dxa"/>
              <w:start w:w="70" w:type="dxa"/>
              <w:bottom w:w="70" w:type="dxa"/>
              <w:end w:w="70" w:type="dxa"/>
            </w:tcMar>
            <w:vAlign w:val="center"/>
            <w:shd w:fill="44403C"/>
          </w:tcPr>
          <w:p>
            <w:pPr>
              <w:spacing w:after="0" w:before="0"/>
            </w:pPr>
            <w:r>
              <w:rPr>
                <w:rFonts w:ascii="Arial" w:hAnsi="Arial"/>
                <w:b/>
                <w:color w:val="FFFFFF"/>
                <w:sz w:val="16"/>
              </w:rPr>
              <w:t>Operational need observed</w:t>
            </w:r>
          </w:p>
        </w:tc>
        <w:tc>
          <w:tcPr>
            <w:tcW w:type="dxa" w:w="3096"/>
            <w:tcMar>
              <w:top w:w="70" w:type="dxa"/>
              <w:start w:w="70" w:type="dxa"/>
              <w:bottom w:w="70" w:type="dxa"/>
              <w:end w:w="70" w:type="dxa"/>
            </w:tcMar>
            <w:vAlign w:val="center"/>
            <w:shd w:fill="44403C"/>
          </w:tcPr>
          <w:p>
            <w:pPr>
              <w:spacing w:after="0" w:before="0"/>
            </w:pPr>
            <w:r>
              <w:rPr>
                <w:rFonts w:ascii="Arial" w:hAnsi="Arial"/>
                <w:b/>
                <w:color w:val="FFFFFF"/>
                <w:sz w:val="16"/>
              </w:rPr>
              <w:t>Proposed companion artifact</w:t>
            </w:r>
          </w:p>
        </w:tc>
      </w:tr>
      <w:tr>
        <w:trPr>
          <w:cantSplit/>
        </w:trPr>
        <w:tc>
          <w:tcPr>
            <w:tcW w:type="dxa" w:w="3096"/>
            <w:tcMar>
              <w:top w:w="70" w:type="dxa"/>
              <w:start w:w="70" w:type="dxa"/>
              <w:bottom w:w="70" w:type="dxa"/>
              <w:end w:w="70" w:type="dxa"/>
            </w:tcMar>
            <w:vAlign w:val="center"/>
          </w:tcPr>
          <w:p>
            <w:pPr>
              <w:spacing w:after="0" w:before="0"/>
            </w:pPr>
            <w:r>
              <w:rPr>
                <w:rFonts w:ascii="Arial" w:hAnsi="Arial"/>
                <w:sz w:val="16"/>
              </w:rPr>
              <w:t>Incremental evolution of existing environments</w:t>
            </w:r>
          </w:p>
        </w:tc>
        <w:tc>
          <w:tcPr>
            <w:tcW w:type="dxa" w:w="3096"/>
            <w:tcMar>
              <w:top w:w="70" w:type="dxa"/>
              <w:start w:w="70" w:type="dxa"/>
              <w:bottom w:w="70" w:type="dxa"/>
              <w:end w:w="70" w:type="dxa"/>
            </w:tcMar>
            <w:vAlign w:val="center"/>
          </w:tcPr>
          <w:p>
            <w:pPr>
              <w:spacing w:after="0" w:before="0"/>
            </w:pPr>
            <w:r>
              <w:rPr>
                <w:rFonts w:ascii="Arial" w:hAnsi="Arial"/>
                <w:sz w:val="16"/>
              </w:rPr>
              <w:t>Temporary controls and dependencies can persist without explicit ownership</w:t>
            </w:r>
          </w:p>
        </w:tc>
        <w:tc>
          <w:tcPr>
            <w:tcW w:type="dxa" w:w="3096"/>
            <w:tcMar>
              <w:top w:w="70" w:type="dxa"/>
              <w:start w:w="70" w:type="dxa"/>
              <w:bottom w:w="70" w:type="dxa"/>
              <w:end w:w="70" w:type="dxa"/>
            </w:tcMar>
            <w:vAlign w:val="center"/>
          </w:tcPr>
          <w:p>
            <w:pPr>
              <w:spacing w:after="0" w:before="0"/>
            </w:pPr>
            <w:r>
              <w:rPr>
                <w:rFonts w:ascii="Arial" w:hAnsi="Arial"/>
                <w:sz w:val="16"/>
              </w:rPr>
              <w:t>Transition-State Risk Register</w:t>
            </w:r>
          </w:p>
        </w:tc>
      </w:tr>
      <w:tr>
        <w:trPr>
          <w:cantSplit/>
        </w:trPr>
        <w:tc>
          <w:tcPr>
            <w:tcW w:type="dxa" w:w="3096"/>
            <w:tcMar>
              <w:top w:w="70" w:type="dxa"/>
              <w:start w:w="70" w:type="dxa"/>
              <w:bottom w:w="70" w:type="dxa"/>
              <w:end w:w="70" w:type="dxa"/>
            </w:tcMar>
            <w:vAlign w:val="center"/>
            <w:shd w:fill="F5F3EF"/>
          </w:tcPr>
          <w:p>
            <w:pPr>
              <w:spacing w:after="0" w:before="0"/>
            </w:pPr>
            <w:r>
              <w:rPr>
                <w:rFonts w:ascii="Arial" w:hAnsi="Arial"/>
                <w:sz w:val="16"/>
              </w:rPr>
              <w:t>Data classification is outside this project scope</w:t>
            </w:r>
          </w:p>
        </w:tc>
        <w:tc>
          <w:tcPr>
            <w:tcW w:type="dxa" w:w="3096"/>
            <w:tcMar>
              <w:top w:w="70" w:type="dxa"/>
              <w:start w:w="70" w:type="dxa"/>
              <w:bottom w:w="70" w:type="dxa"/>
              <w:end w:w="70" w:type="dxa"/>
            </w:tcMar>
            <w:vAlign w:val="center"/>
            <w:shd w:fill="F5F3EF"/>
          </w:tcPr>
          <w:p>
            <w:pPr>
              <w:spacing w:after="0" w:before="0"/>
            </w:pPr>
            <w:r>
              <w:rPr>
                <w:rFonts w:ascii="Arial" w:hAnsi="Arial"/>
                <w:sz w:val="16"/>
              </w:rPr>
              <w:t>Migration sequencing still depends on data sensitivity and business criticality</w:t>
            </w:r>
          </w:p>
        </w:tc>
        <w:tc>
          <w:tcPr>
            <w:tcW w:type="dxa" w:w="3096"/>
            <w:tcMar>
              <w:top w:w="70" w:type="dxa"/>
              <w:start w:w="70" w:type="dxa"/>
              <w:bottom w:w="70" w:type="dxa"/>
              <w:end w:w="70" w:type="dxa"/>
            </w:tcMar>
            <w:vAlign w:val="center"/>
            <w:shd w:fill="F5F3EF"/>
          </w:tcPr>
          <w:p>
            <w:pPr>
              <w:spacing w:after="0" w:before="0"/>
            </w:pPr>
            <w:r>
              <w:rPr>
                <w:rFonts w:ascii="Arial" w:hAnsi="Arial"/>
                <w:sz w:val="16"/>
              </w:rPr>
              <w:t>Data Sensitivity &amp; Migration Sequencing Worksheet</w:t>
            </w:r>
          </w:p>
        </w:tc>
      </w:tr>
      <w:tr>
        <w:trPr>
          <w:cantSplit/>
        </w:trPr>
        <w:tc>
          <w:tcPr>
            <w:tcW w:type="dxa" w:w="3096"/>
            <w:tcMar>
              <w:top w:w="70" w:type="dxa"/>
              <w:start w:w="70" w:type="dxa"/>
              <w:bottom w:w="70" w:type="dxa"/>
              <w:end w:w="70" w:type="dxa"/>
            </w:tcMar>
            <w:vAlign w:val="center"/>
          </w:tcPr>
          <w:p>
            <w:pPr>
              <w:spacing w:after="0" w:before="0"/>
            </w:pPr>
            <w:r>
              <w:rPr>
                <w:rFonts w:ascii="Arial" w:hAnsi="Arial"/>
                <w:sz w:val="16"/>
              </w:rPr>
              <w:t>Audience assumes existing cybersecurity capability</w:t>
            </w:r>
          </w:p>
        </w:tc>
        <w:tc>
          <w:tcPr>
            <w:tcW w:type="dxa" w:w="3096"/>
            <w:tcMar>
              <w:top w:w="70" w:type="dxa"/>
              <w:start w:w="70" w:type="dxa"/>
              <w:bottom w:w="70" w:type="dxa"/>
              <w:end w:w="70" w:type="dxa"/>
            </w:tcMar>
            <w:vAlign w:val="center"/>
          </w:tcPr>
          <w:p>
            <w:pPr>
              <w:spacing w:after="0" w:before="0"/>
            </w:pPr>
            <w:r>
              <w:rPr>
                <w:rFonts w:ascii="Arial" w:hAnsi="Arial"/>
                <w:sz w:val="16"/>
              </w:rPr>
              <w:t>Smaller teams may need a structured baseline before technology selection</w:t>
            </w:r>
          </w:p>
        </w:tc>
        <w:tc>
          <w:tcPr>
            <w:tcW w:type="dxa" w:w="3096"/>
            <w:tcMar>
              <w:top w:w="70" w:type="dxa"/>
              <w:start w:w="70" w:type="dxa"/>
              <w:bottom w:w="70" w:type="dxa"/>
              <w:end w:w="70" w:type="dxa"/>
            </w:tcMar>
            <w:vAlign w:val="center"/>
          </w:tcPr>
          <w:p>
            <w:pPr>
              <w:spacing w:after="0" w:before="0"/>
            </w:pPr>
            <w:r>
              <w:rPr>
                <w:rFonts w:ascii="Arial" w:hAnsi="Arial"/>
                <w:sz w:val="16"/>
              </w:rPr>
              <w:t>ZTA Transition Readiness Scorecard</w:t>
            </w:r>
          </w:p>
        </w:tc>
      </w:tr>
      <w:tr>
        <w:trPr>
          <w:cantSplit/>
        </w:trPr>
        <w:tc>
          <w:tcPr>
            <w:tcW w:type="dxa" w:w="3096"/>
            <w:tcMar>
              <w:top w:w="70" w:type="dxa"/>
              <w:start w:w="70" w:type="dxa"/>
              <w:bottom w:w="70" w:type="dxa"/>
              <w:end w:w="70" w:type="dxa"/>
            </w:tcMar>
            <w:vAlign w:val="center"/>
            <w:shd w:fill="F5F3EF"/>
          </w:tcPr>
          <w:p>
            <w:pPr>
              <w:spacing w:after="0" w:before="0"/>
            </w:pPr>
            <w:r>
              <w:rPr>
                <w:rFonts w:ascii="Arial" w:hAnsi="Arial"/>
                <w:sz w:val="16"/>
              </w:rPr>
              <w:t>Multi-vendor integration challenges are documented</w:t>
            </w:r>
          </w:p>
        </w:tc>
        <w:tc>
          <w:tcPr>
            <w:tcW w:type="dxa" w:w="3096"/>
            <w:tcMar>
              <w:top w:w="70" w:type="dxa"/>
              <w:start w:w="70" w:type="dxa"/>
              <w:bottom w:w="70" w:type="dxa"/>
              <w:end w:w="70" w:type="dxa"/>
            </w:tcMar>
            <w:vAlign w:val="center"/>
            <w:shd w:fill="F5F3EF"/>
          </w:tcPr>
          <w:p>
            <w:pPr>
              <w:spacing w:after="0" w:before="0"/>
            </w:pPr>
            <w:r>
              <w:rPr>
                <w:rFonts w:ascii="Arial" w:hAnsi="Arial"/>
                <w:sz w:val="16"/>
              </w:rPr>
              <w:t>Organizations need to test integration assumptions before procurement and deployment</w:t>
            </w:r>
          </w:p>
        </w:tc>
        <w:tc>
          <w:tcPr>
            <w:tcW w:type="dxa" w:w="3096"/>
            <w:tcMar>
              <w:top w:w="70" w:type="dxa"/>
              <w:start w:w="70" w:type="dxa"/>
              <w:bottom w:w="70" w:type="dxa"/>
              <w:end w:w="70" w:type="dxa"/>
            </w:tcMar>
            <w:vAlign w:val="center"/>
            <w:shd w:fill="F5F3EF"/>
          </w:tcPr>
          <w:p>
            <w:pPr>
              <w:spacing w:after="0" w:before="0"/>
            </w:pPr>
            <w:r>
              <w:rPr>
                <w:rFonts w:ascii="Arial" w:hAnsi="Arial"/>
                <w:sz w:val="16"/>
              </w:rPr>
              <w:t>Integration Readiness Checklist</w:t>
            </w:r>
          </w:p>
        </w:tc>
      </w:tr>
      <w:tr>
        <w:trPr>
          <w:cantSplit/>
        </w:trPr>
        <w:tc>
          <w:tcPr>
            <w:tcW w:type="dxa" w:w="3096"/>
            <w:tcMar>
              <w:top w:w="70" w:type="dxa"/>
              <w:start w:w="70" w:type="dxa"/>
              <w:bottom w:w="70" w:type="dxa"/>
              <w:end w:w="70" w:type="dxa"/>
            </w:tcMar>
            <w:vAlign w:val="center"/>
          </w:tcPr>
          <w:p>
            <w:pPr>
              <w:spacing w:after="0" w:before="0"/>
            </w:pPr>
            <w:r>
              <w:rPr>
                <w:rFonts w:ascii="Arial" w:hAnsi="Arial"/>
                <w:sz w:val="16"/>
              </w:rPr>
              <w:t>Verification and periodic testing are recommended</w:t>
            </w:r>
          </w:p>
        </w:tc>
        <w:tc>
          <w:tcPr>
            <w:tcW w:type="dxa" w:w="3096"/>
            <w:tcMar>
              <w:top w:w="70" w:type="dxa"/>
              <w:start w:w="70" w:type="dxa"/>
              <w:bottom w:w="70" w:type="dxa"/>
              <w:end w:w="70" w:type="dxa"/>
            </w:tcMar>
            <w:vAlign w:val="center"/>
          </w:tcPr>
          <w:p>
            <w:pPr>
              <w:spacing w:after="0" w:before="0"/>
            </w:pPr>
            <w:r>
              <w:rPr>
                <w:rFonts w:ascii="Arial" w:hAnsi="Arial"/>
                <w:sz w:val="16"/>
              </w:rPr>
              <w:t>Teams need reusable, evidence-oriented test cases</w:t>
            </w:r>
          </w:p>
        </w:tc>
        <w:tc>
          <w:tcPr>
            <w:tcW w:type="dxa" w:w="3096"/>
            <w:tcMar>
              <w:top w:w="70" w:type="dxa"/>
              <w:start w:w="70" w:type="dxa"/>
              <w:bottom w:w="70" w:type="dxa"/>
              <w:end w:w="70" w:type="dxa"/>
            </w:tcMar>
            <w:vAlign w:val="center"/>
          </w:tcPr>
          <w:p>
            <w:pPr>
              <w:spacing w:after="0" w:before="0"/>
            </w:pPr>
            <w:r>
              <w:rPr>
                <w:rFonts w:ascii="Arial" w:hAnsi="Arial"/>
                <w:sz w:val="16"/>
              </w:rPr>
              <w:t>Transition Test Case Library</w:t>
            </w:r>
          </w:p>
        </w:tc>
      </w:tr>
      <w:tr>
        <w:trPr>
          <w:cantSplit/>
        </w:trPr>
        <w:tc>
          <w:tcPr>
            <w:tcW w:type="dxa" w:w="3096"/>
            <w:tcMar>
              <w:top w:w="70" w:type="dxa"/>
              <w:start w:w="70" w:type="dxa"/>
              <w:bottom w:w="70" w:type="dxa"/>
              <w:end w:w="70" w:type="dxa"/>
            </w:tcMar>
            <w:vAlign w:val="center"/>
            <w:shd w:fill="F5F3EF"/>
          </w:tcPr>
          <w:p>
            <w:pPr>
              <w:spacing w:after="0" w:before="0"/>
            </w:pPr>
            <w:r>
              <w:rPr>
                <w:rFonts w:ascii="Arial" w:hAnsi="Arial"/>
                <w:sz w:val="16"/>
              </w:rPr>
              <w:t>Training needs are identified; ZTA is ongoing</w:t>
            </w:r>
          </w:p>
        </w:tc>
        <w:tc>
          <w:tcPr>
            <w:tcW w:type="dxa" w:w="3096"/>
            <w:tcMar>
              <w:top w:w="70" w:type="dxa"/>
              <w:start w:w="70" w:type="dxa"/>
              <w:bottom w:w="70" w:type="dxa"/>
              <w:end w:w="70" w:type="dxa"/>
            </w:tcMar>
            <w:vAlign w:val="center"/>
            <w:shd w:fill="F5F3EF"/>
          </w:tcPr>
          <w:p>
            <w:pPr>
              <w:spacing w:after="0" w:before="0"/>
            </w:pPr>
            <w:r>
              <w:rPr>
                <w:rFonts w:ascii="Arial" w:hAnsi="Arial"/>
                <w:sz w:val="16"/>
              </w:rPr>
              <w:t>Operational ownership can degrade after project handover</w:t>
            </w:r>
          </w:p>
        </w:tc>
        <w:tc>
          <w:tcPr>
            <w:tcW w:type="dxa" w:w="3096"/>
            <w:tcMar>
              <w:top w:w="70" w:type="dxa"/>
              <w:start w:w="70" w:type="dxa"/>
              <w:bottom w:w="70" w:type="dxa"/>
              <w:end w:w="70" w:type="dxa"/>
            </w:tcMar>
            <w:vAlign w:val="center"/>
            <w:shd w:fill="F5F3EF"/>
          </w:tcPr>
          <w:p>
            <w:pPr>
              <w:spacing w:after="0" w:before="0"/>
            </w:pPr>
            <w:r>
              <w:rPr>
                <w:rFonts w:ascii="Arial" w:hAnsi="Arial"/>
                <w:sz w:val="16"/>
              </w:rPr>
              <w:t>Handover &amp; Operating Model Checklist</w:t>
            </w:r>
          </w:p>
        </w:tc>
      </w:tr>
      <w:tr>
        <w:trPr>
          <w:cantSplit/>
        </w:trPr>
        <w:tc>
          <w:tcPr>
            <w:tcW w:type="dxa" w:w="3096"/>
            <w:tcMar>
              <w:top w:w="70" w:type="dxa"/>
              <w:start w:w="70" w:type="dxa"/>
              <w:bottom w:w="70" w:type="dxa"/>
              <w:end w:w="70" w:type="dxa"/>
            </w:tcMar>
            <w:vAlign w:val="center"/>
          </w:tcPr>
          <w:p>
            <w:pPr>
              <w:spacing w:after="0" w:before="0"/>
            </w:pPr>
            <w:r>
              <w:rPr>
                <w:rFonts w:ascii="Arial" w:hAnsi="Arial"/>
                <w:sz w:val="16"/>
              </w:rPr>
              <w:t>Continuous improvement is required</w:t>
            </w:r>
          </w:p>
        </w:tc>
        <w:tc>
          <w:tcPr>
            <w:tcW w:type="dxa" w:w="3096"/>
            <w:tcMar>
              <w:top w:w="70" w:type="dxa"/>
              <w:start w:w="70" w:type="dxa"/>
              <w:bottom w:w="70" w:type="dxa"/>
              <w:end w:w="70" w:type="dxa"/>
            </w:tcMar>
            <w:vAlign w:val="center"/>
          </w:tcPr>
          <w:p>
            <w:pPr>
              <w:spacing w:after="0" w:before="0"/>
            </w:pPr>
            <w:r>
              <w:rPr>
                <w:rFonts w:ascii="Arial" w:hAnsi="Arial"/>
                <w:sz w:val="16"/>
              </w:rPr>
              <w:t>Residual risks and expired exceptions need structured follow-up</w:t>
            </w:r>
          </w:p>
        </w:tc>
        <w:tc>
          <w:tcPr>
            <w:tcW w:type="dxa" w:w="3096"/>
            <w:tcMar>
              <w:top w:w="70" w:type="dxa"/>
              <w:start w:w="70" w:type="dxa"/>
              <w:bottom w:w="70" w:type="dxa"/>
              <w:end w:w="70" w:type="dxa"/>
            </w:tcMar>
            <w:vAlign w:val="center"/>
          </w:tcPr>
          <w:p>
            <w:pPr>
              <w:spacing w:after="0" w:before="0"/>
            </w:pPr>
            <w:r>
              <w:rPr>
                <w:rFonts w:ascii="Arial" w:hAnsi="Arial"/>
                <w:sz w:val="16"/>
              </w:rPr>
              <w:t>30/60/90-Day Assurance Review</w:t>
            </w:r>
          </w:p>
        </w:tc>
      </w:tr>
    </w:tbl>
    <w:p>
      <w:pPr>
        <w:pStyle w:val="Heading2"/>
      </w:pPr>
      <w:r>
        <w:t>2.2 Design Boundary</w:t>
      </w:r>
    </w:p>
    <w:p>
      <w:pPr/>
      <w:r>
        <w:t>This document uses the terms “aligned with,” “complements,” and “operationalizes.” It does not use “NIST-approved,” “NIST-certified,” or other wording that would imply endorsement. The toolkit also does not extend SP 1800-35 into OT/IoT or attempt to replace formal data-classification, privacy, legal, or enterprise risk-management processes.</w:t>
      </w:r>
    </w:p>
    <w:p>
      <w:pPr>
        <w:pStyle w:val="Heading1"/>
      </w:pPr>
      <w:r>
        <w:t>3. Alignment with NIST SP 1800-35</w:t>
      </w:r>
    </w:p>
    <w:tbl>
      <w:tblPr>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tcMar>
              <w:top w:w="55" w:type="dxa"/>
              <w:start w:w="55" w:type="dxa"/>
              <w:bottom w:w="55" w:type="dxa"/>
              <w:end w:w="55" w:type="dxa"/>
            </w:tcMar>
            <w:vAlign w:val="center"/>
            <w:shd w:fill="44403C"/>
          </w:tcPr>
          <w:p>
            <w:pPr>
              <w:spacing w:after="0"/>
            </w:pPr>
            <w:r>
              <w:rPr>
                <w:rFonts w:ascii="Cambria" w:hAnsi="Cambria"/>
                <w:b/>
                <w:i w:val="0"/>
                <w:color w:val="FFFFFF"/>
                <w:sz w:val="18"/>
              </w:rPr>
              <w:t>SP 1800-35 Theme</w:t>
            </w:r>
          </w:p>
        </w:tc>
        <w:tc>
          <w:tcPr>
            <w:tcW w:type="dxa" w:w="5083"/>
            <w:tcMar>
              <w:top w:w="55" w:type="dxa"/>
              <w:start w:w="55" w:type="dxa"/>
              <w:bottom w:w="55" w:type="dxa"/>
              <w:end w:w="55" w:type="dxa"/>
            </w:tcMar>
            <w:vAlign w:val="center"/>
            <w:shd w:fill="44403C"/>
          </w:tcPr>
          <w:p>
            <w:pPr>
              <w:spacing w:after="0"/>
            </w:pPr>
            <w:r>
              <w:rPr>
                <w:rFonts w:ascii="Cambria" w:hAnsi="Cambria"/>
                <w:b/>
                <w:i w:val="0"/>
                <w:color w:val="FFFFFF"/>
                <w:sz w:val="18"/>
              </w:rPr>
              <w:t>Toolkit Response</w:t>
            </w:r>
          </w:p>
        </w:tc>
      </w:tr>
      <w:tr>
        <w:trPr>
          <w:cantSplit/>
        </w:trPr>
        <w:tc>
          <w:tcPr>
            <w:tcW w:type="dxa" w:w="5083"/>
            <w:tcMar>
              <w:top w:w="55" w:type="dxa"/>
              <w:start w:w="55" w:type="dxa"/>
              <w:bottom w:w="55" w:type="dxa"/>
              <w:end w:w="55" w:type="dxa"/>
            </w:tcMar>
            <w:vAlign w:val="center"/>
          </w:tcPr>
          <w:p>
            <w:pPr>
              <w:spacing w:after="0"/>
            </w:pPr>
            <w:r>
              <w:rPr>
                <w:rFonts w:ascii="Cambria" w:hAnsi="Cambria"/>
                <w:b/>
                <w:i w:val="0"/>
                <w:color w:val="262626"/>
                <w:sz w:val="18"/>
              </w:rPr>
              <w:t>Scope and audience</w:t>
            </w:r>
          </w:p>
        </w:tc>
        <w:tc>
          <w:tcPr>
            <w:tcW w:type="dxa" w:w="5083"/>
            <w:tcMar>
              <w:top w:w="55" w:type="dxa"/>
              <w:start w:w="55" w:type="dxa"/>
              <w:bottom w:w="55" w:type="dxa"/>
              <w:end w:w="55" w:type="dxa"/>
            </w:tcMar>
            <w:vAlign w:val="center"/>
          </w:tcPr>
          <w:p>
            <w:pPr>
              <w:spacing w:after="0"/>
            </w:pPr>
            <w:r>
              <w:rPr>
                <w:rFonts w:ascii="Cambria" w:hAnsi="Cambria"/>
                <w:b w:val="0"/>
                <w:i w:val="0"/>
                <w:color w:val="262626"/>
                <w:sz w:val="18"/>
              </w:rPr>
              <w:t>SP 1800-35 assumes an existing cybersecurity capability level and focuses on conventional enterprise IT. This toolkit adds lightweight worksheets intended to make the transition process easier to operationalize for teams that may have uneven documentation or limited staff.</w:t>
            </w:r>
          </w:p>
        </w:tc>
      </w:tr>
      <w:tr>
        <w:trPr>
          <w:cantSplit/>
        </w:trPr>
        <w:tc>
          <w:tcPr>
            <w:tcW w:type="dxa" w:w="5083"/>
            <w:tcMar>
              <w:top w:w="55" w:type="dxa"/>
              <w:start w:w="55" w:type="dxa"/>
              <w:bottom w:w="55" w:type="dxa"/>
              <w:end w:w="55" w:type="dxa"/>
            </w:tcMar>
            <w:vAlign w:val="center"/>
            <w:shd w:fill="F6F4F0"/>
          </w:tcPr>
          <w:p>
            <w:pPr>
              <w:spacing w:after="0"/>
            </w:pPr>
            <w:r>
              <w:rPr>
                <w:rFonts w:ascii="Cambria" w:hAnsi="Cambria"/>
                <w:b/>
                <w:i w:val="0"/>
                <w:color w:val="262626"/>
                <w:sz w:val="18"/>
              </w:rPr>
              <w:t>Implementation challenges</w:t>
            </w:r>
          </w:p>
        </w:tc>
        <w:tc>
          <w:tcPr>
            <w:tcW w:type="dxa" w:w="5083"/>
            <w:tcMar>
              <w:top w:w="55" w:type="dxa"/>
              <w:start w:w="55" w:type="dxa"/>
              <w:bottom w:w="55" w:type="dxa"/>
              <w:end w:w="55" w:type="dxa"/>
            </w:tcMar>
            <w:vAlign w:val="center"/>
            <w:shd w:fill="F6F4F0"/>
          </w:tcPr>
          <w:p>
            <w:pPr>
              <w:spacing w:after="0"/>
            </w:pPr>
            <w:r>
              <w:rPr>
                <w:rFonts w:ascii="Cambria" w:hAnsi="Cambria"/>
                <w:b w:val="0"/>
                <w:i w:val="0"/>
                <w:color w:val="262626"/>
                <w:sz w:val="18"/>
              </w:rPr>
              <w:t>Section 2.2 identifies resource constraints, training needs, incomplete asset inventory, limited communication-flow visibility, fragmented policy, and technology integration issues. The scorecard, risk register, and integration checklist directly operationalize those themes.</w:t>
            </w:r>
          </w:p>
        </w:tc>
      </w:tr>
      <w:tr>
        <w:trPr>
          <w:cantSplit/>
        </w:trPr>
        <w:tc>
          <w:tcPr>
            <w:tcW w:type="dxa" w:w="5083"/>
            <w:tcMar>
              <w:top w:w="55" w:type="dxa"/>
              <w:start w:w="55" w:type="dxa"/>
              <w:bottom w:w="55" w:type="dxa"/>
              <w:end w:w="55" w:type="dxa"/>
            </w:tcMar>
            <w:vAlign w:val="center"/>
          </w:tcPr>
          <w:p>
            <w:pPr>
              <w:spacing w:after="0"/>
            </w:pPr>
            <w:r>
              <w:rPr>
                <w:rFonts w:ascii="Cambria" w:hAnsi="Cambria"/>
                <w:b/>
                <w:i w:val="0"/>
                <w:color w:val="262626"/>
                <w:sz w:val="18"/>
              </w:rPr>
              <w:t>Integration findings</w:t>
            </w:r>
          </w:p>
        </w:tc>
        <w:tc>
          <w:tcPr>
            <w:tcW w:type="dxa" w:w="5083"/>
            <w:tcMar>
              <w:top w:w="55" w:type="dxa"/>
              <w:start w:w="55" w:type="dxa"/>
              <w:bottom w:w="55" w:type="dxa"/>
              <w:end w:w="55" w:type="dxa"/>
            </w:tcMar>
            <w:vAlign w:val="center"/>
          </w:tcPr>
          <w:p>
            <w:pPr>
              <w:spacing w:after="0"/>
            </w:pPr>
            <w:r>
              <w:rPr>
                <w:rFonts w:ascii="Cambria" w:hAnsi="Cambria"/>
                <w:b w:val="0"/>
                <w:i w:val="0"/>
                <w:color w:val="262626"/>
                <w:sz w:val="18"/>
              </w:rPr>
              <w:t>Sections 5.1-5.3 document out-of-the-box integration limitations, incomplete policy context, multiple policy decision points, and the value of SIEM/SOAR and data-security signals. The integration checklist turns those observations into pre-selection and validation questions.</w:t>
            </w:r>
          </w:p>
        </w:tc>
      </w:tr>
      <w:tr>
        <w:trPr>
          <w:cantSplit/>
        </w:trPr>
        <w:tc>
          <w:tcPr>
            <w:tcW w:type="dxa" w:w="5083"/>
            <w:tcMar>
              <w:top w:w="55" w:type="dxa"/>
              <w:start w:w="55" w:type="dxa"/>
              <w:bottom w:w="55" w:type="dxa"/>
              <w:end w:w="55" w:type="dxa"/>
            </w:tcMar>
            <w:vAlign w:val="center"/>
            <w:shd w:fill="F6F4F0"/>
          </w:tcPr>
          <w:p>
            <w:pPr>
              <w:spacing w:after="0"/>
            </w:pPr>
            <w:r>
              <w:rPr>
                <w:rFonts w:ascii="Cambria" w:hAnsi="Cambria"/>
                <w:b/>
                <w:i w:val="0"/>
                <w:color w:val="262626"/>
                <w:sz w:val="18"/>
              </w:rPr>
              <w:t>Incremental implementation</w:t>
            </w:r>
          </w:p>
        </w:tc>
        <w:tc>
          <w:tcPr>
            <w:tcW w:type="dxa" w:w="5083"/>
            <w:tcMar>
              <w:top w:w="55" w:type="dxa"/>
              <w:start w:w="55" w:type="dxa"/>
              <w:bottom w:w="55" w:type="dxa"/>
              <w:end w:w="55" w:type="dxa"/>
            </w:tcMar>
            <w:vAlign w:val="center"/>
            <w:shd w:fill="F6F4F0"/>
          </w:tcPr>
          <w:p>
            <w:pPr>
              <w:spacing w:after="0"/>
            </w:pPr>
            <w:r>
              <w:rPr>
                <w:rFonts w:ascii="Cambria" w:hAnsi="Cambria"/>
                <w:b w:val="0"/>
                <w:i w:val="0"/>
                <w:color w:val="262626"/>
                <w:sz w:val="18"/>
              </w:rPr>
              <w:t>Section 8 recommends discovery, policy formulation, use of existing capabilities, risk-based gap closure, incremental implementation, verification, and continuous improvement. The migration worksheet, test-case library, and 30/60/90-day review follow that sequence.</w:t>
            </w:r>
          </w:p>
        </w:tc>
      </w:tr>
    </w:tbl>
    <w:p>
      <w:pPr>
        <w:spacing w:before="200" w:after="20"/>
        <w:ind w:left="220"/>
      </w:pPr>
      <w:r>
        <w:rPr>
          <w:rFonts w:ascii="Cambria" w:hAnsi="Cambria"/>
          <w:b/>
          <w:i w:val="0"/>
          <w:color w:val="262626"/>
          <w:sz w:val="21"/>
        </w:rPr>
        <w:t>Important boundary.</w:t>
      </w:r>
    </w:p>
    <w:p>
      <w:pPr>
        <w:spacing w:before="20" w:after="140"/>
        <w:ind w:left="220"/>
      </w:pPr>
      <w:r>
        <w:rPr>
          <w:rFonts w:ascii="Cambria" w:hAnsi="Cambria"/>
          <w:b w:val="0"/>
          <w:i/>
          <w:color w:val="262626"/>
          <w:sz w:val="19"/>
        </w:rPr>
        <w:t>SP 1800-35 explicitly places the risk and policy requirements of discovering and classifying data outside the project scope. The Data Sensitivity &amp; Migration Sequencing Worksheet in this toolkit therefore does not attempt to replace formal data classification; it only helps teams connect approved sensitivity information to migration sequencing decisions.</w:t>
      </w:r>
    </w:p>
    <w:p>
      <w:r>
        <w:br w:type="page"/>
      </w:r>
    </w:p>
    <w:p>
      <w:pPr>
        <w:pStyle w:val="Heading1"/>
      </w:pPr>
      <w:r>
        <w:t>4. Zero Trust Transition Readiness Scorecard</w:t>
      </w:r>
    </w:p>
    <w:p>
      <w:pPr>
        <w:spacing w:after="160"/>
      </w:pPr>
      <w:r>
        <w:rPr>
          <w:rFonts w:ascii="Cambria" w:hAnsi="Cambria"/>
          <w:b w:val="0"/>
          <w:i w:val="0"/>
          <w:color w:val="262626"/>
          <w:sz w:val="21"/>
        </w:rPr>
        <w:t>Use before major migration waves and repeat after material changes.</w:t>
      </w:r>
    </w:p>
    <w:p>
      <w:pPr>
        <w:spacing w:before="200" w:after="20"/>
        <w:ind w:left="220"/>
      </w:pPr>
      <w:r>
        <w:rPr>
          <w:rFonts w:ascii="Cambria" w:hAnsi="Cambria"/>
          <w:b/>
          <w:i w:val="0"/>
          <w:color w:val="262626"/>
          <w:sz w:val="21"/>
        </w:rPr>
        <w:t>How this template complements SP 1800-35.</w:t>
      </w:r>
    </w:p>
    <w:p>
      <w:pPr>
        <w:spacing w:before="20" w:after="140"/>
        <w:ind w:left="220"/>
      </w:pPr>
      <w:r>
        <w:rPr>
          <w:rFonts w:ascii="Cambria" w:hAnsi="Cambria"/>
          <w:b w:val="0"/>
          <w:i/>
          <w:color w:val="262626"/>
          <w:sz w:val="19"/>
        </w:rPr>
        <w:t>The scorecard provides a simple 0-5 maturity view across foundational capabilities that affect the safety of incremental Zero Trust adoption.  Alignment: SP 1800-35 Sections 2.2 and 8.1-8.7.</w:t>
      </w:r>
    </w:p>
    <w:p>
      <w:pPr>
        <w:pStyle w:val="Heading2"/>
      </w:pPr>
      <w:r>
        <w:rPr>
          <w:rFonts w:ascii="Cambria" w:hAnsi="Cambria"/>
          <w:b/>
          <w:i w:val="0"/>
          <w:color w:val="262626"/>
          <w:sz w:val="25"/>
        </w:rPr>
        <w:t>Scoring Scale</w:t>
      </w:r>
    </w:p>
    <w:tbl>
      <w:tblPr>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tcMar>
              <w:top w:w="55" w:type="dxa"/>
              <w:start w:w="55" w:type="dxa"/>
              <w:bottom w:w="55" w:type="dxa"/>
              <w:end w:w="55" w:type="dxa"/>
            </w:tcMar>
            <w:vAlign w:val="center"/>
            <w:shd w:fill="44403C"/>
          </w:tcPr>
          <w:p>
            <w:pPr>
              <w:spacing w:after="0"/>
            </w:pPr>
            <w:r>
              <w:rPr>
                <w:rFonts w:ascii="Cambria" w:hAnsi="Cambria"/>
                <w:b/>
                <w:i w:val="0"/>
                <w:color w:val="FFFFFF"/>
                <w:sz w:val="18"/>
              </w:rPr>
              <w:t>Score</w:t>
            </w:r>
          </w:p>
        </w:tc>
        <w:tc>
          <w:tcPr>
            <w:tcW w:type="dxa" w:w="5083"/>
            <w:tcMar>
              <w:top w:w="55" w:type="dxa"/>
              <w:start w:w="55" w:type="dxa"/>
              <w:bottom w:w="55" w:type="dxa"/>
              <w:end w:w="55" w:type="dxa"/>
            </w:tcMar>
            <w:vAlign w:val="center"/>
            <w:shd w:fill="44403C"/>
          </w:tcPr>
          <w:p>
            <w:pPr>
              <w:spacing w:after="0"/>
            </w:pPr>
            <w:r>
              <w:rPr>
                <w:rFonts w:ascii="Cambria" w:hAnsi="Cambria"/>
                <w:b/>
                <w:i w:val="0"/>
                <w:color w:val="FFFFFF"/>
                <w:sz w:val="18"/>
              </w:rPr>
              <w:t>Meaning</w:t>
            </w:r>
          </w:p>
        </w:tc>
      </w:tr>
      <w:tr>
        <w:trPr>
          <w:cantSplit/>
        </w:trPr>
        <w:tc>
          <w:tcPr>
            <w:tcW w:type="dxa" w:w="5083"/>
            <w:tcMar>
              <w:top w:w="55" w:type="dxa"/>
              <w:start w:w="55" w:type="dxa"/>
              <w:bottom w:w="55" w:type="dxa"/>
              <w:end w:w="55" w:type="dxa"/>
            </w:tcMar>
            <w:vAlign w:val="center"/>
          </w:tcPr>
          <w:p>
            <w:pPr>
              <w:spacing w:after="0"/>
            </w:pPr>
            <w:r>
              <w:rPr>
                <w:rFonts w:ascii="Cambria" w:hAnsi="Cambria"/>
                <w:b w:val="0"/>
                <w:i w:val="0"/>
                <w:color w:val="262626"/>
                <w:sz w:val="18"/>
              </w:rPr>
              <w:t>0</w:t>
            </w:r>
          </w:p>
        </w:tc>
        <w:tc>
          <w:tcPr>
            <w:tcW w:type="dxa" w:w="5083"/>
            <w:tcMar>
              <w:top w:w="55" w:type="dxa"/>
              <w:start w:w="55" w:type="dxa"/>
              <w:bottom w:w="55" w:type="dxa"/>
              <w:end w:w="55" w:type="dxa"/>
            </w:tcMar>
            <w:vAlign w:val="center"/>
          </w:tcPr>
          <w:p>
            <w:pPr>
              <w:spacing w:after="0"/>
            </w:pPr>
            <w:r>
              <w:rPr>
                <w:rFonts w:ascii="Cambria" w:hAnsi="Cambria"/>
                <w:b w:val="0"/>
                <w:i w:val="0"/>
                <w:color w:val="262626"/>
                <w:sz w:val="18"/>
              </w:rPr>
              <w:t>Unknown or undocumented</w:t>
            </w:r>
          </w:p>
        </w:tc>
      </w:tr>
      <w:tr>
        <w:trPr>
          <w:cantSplit/>
        </w:trPr>
        <w:tc>
          <w:tcPr>
            <w:tcW w:type="dxa" w:w="5083"/>
            <w:tcMar>
              <w:top w:w="55" w:type="dxa"/>
              <w:start w:w="55" w:type="dxa"/>
              <w:bottom w:w="55" w:type="dxa"/>
              <w:end w:w="55" w:type="dxa"/>
            </w:tcMar>
            <w:vAlign w:val="center"/>
            <w:shd w:fill="F6F4F0"/>
          </w:tcPr>
          <w:p>
            <w:pPr>
              <w:spacing w:after="0"/>
            </w:pPr>
            <w:r>
              <w:rPr>
                <w:rFonts w:ascii="Cambria" w:hAnsi="Cambria"/>
                <w:b w:val="0"/>
                <w:i w:val="0"/>
                <w:color w:val="262626"/>
                <w:sz w:val="18"/>
              </w:rPr>
              <w:t>1</w:t>
            </w:r>
          </w:p>
        </w:tc>
        <w:tc>
          <w:tcPr>
            <w:tcW w:type="dxa" w:w="5083"/>
            <w:tcMar>
              <w:top w:w="55" w:type="dxa"/>
              <w:start w:w="55" w:type="dxa"/>
              <w:bottom w:w="55" w:type="dxa"/>
              <w:end w:w="55" w:type="dxa"/>
            </w:tcMar>
            <w:vAlign w:val="center"/>
            <w:shd w:fill="F6F4F0"/>
          </w:tcPr>
          <w:p>
            <w:pPr>
              <w:spacing w:after="0"/>
            </w:pPr>
            <w:r>
              <w:rPr>
                <w:rFonts w:ascii="Cambria" w:hAnsi="Cambria"/>
                <w:b w:val="0"/>
                <w:i w:val="0"/>
                <w:color w:val="262626"/>
                <w:sz w:val="18"/>
              </w:rPr>
              <w:t>Informal / ad hoc</w:t>
            </w:r>
          </w:p>
        </w:tc>
      </w:tr>
      <w:tr>
        <w:trPr>
          <w:cantSplit/>
        </w:trPr>
        <w:tc>
          <w:tcPr>
            <w:tcW w:type="dxa" w:w="5083"/>
            <w:tcMar>
              <w:top w:w="55" w:type="dxa"/>
              <w:start w:w="55" w:type="dxa"/>
              <w:bottom w:w="55" w:type="dxa"/>
              <w:end w:w="55" w:type="dxa"/>
            </w:tcMar>
            <w:vAlign w:val="center"/>
          </w:tcPr>
          <w:p>
            <w:pPr>
              <w:spacing w:after="0"/>
            </w:pPr>
            <w:r>
              <w:rPr>
                <w:rFonts w:ascii="Cambria" w:hAnsi="Cambria"/>
                <w:b w:val="0"/>
                <w:i w:val="0"/>
                <w:color w:val="262626"/>
                <w:sz w:val="18"/>
              </w:rPr>
              <w:t>2</w:t>
            </w:r>
          </w:p>
        </w:tc>
        <w:tc>
          <w:tcPr>
            <w:tcW w:type="dxa" w:w="5083"/>
            <w:tcMar>
              <w:top w:w="55" w:type="dxa"/>
              <w:start w:w="55" w:type="dxa"/>
              <w:bottom w:w="55" w:type="dxa"/>
              <w:end w:w="55" w:type="dxa"/>
            </w:tcMar>
            <w:vAlign w:val="center"/>
          </w:tcPr>
          <w:p>
            <w:pPr>
              <w:spacing w:after="0"/>
            </w:pPr>
            <w:r>
              <w:rPr>
                <w:rFonts w:ascii="Cambria" w:hAnsi="Cambria"/>
                <w:b w:val="0"/>
                <w:i w:val="0"/>
                <w:color w:val="262626"/>
                <w:sz w:val="18"/>
              </w:rPr>
              <w:t>Partially documented</w:t>
            </w:r>
          </w:p>
        </w:tc>
      </w:tr>
      <w:tr>
        <w:trPr>
          <w:cantSplit/>
        </w:trPr>
        <w:tc>
          <w:tcPr>
            <w:tcW w:type="dxa" w:w="5083"/>
            <w:tcMar>
              <w:top w:w="55" w:type="dxa"/>
              <w:start w:w="55" w:type="dxa"/>
              <w:bottom w:w="55" w:type="dxa"/>
              <w:end w:w="55" w:type="dxa"/>
            </w:tcMar>
            <w:vAlign w:val="center"/>
            <w:shd w:fill="F6F4F0"/>
          </w:tcPr>
          <w:p>
            <w:pPr>
              <w:spacing w:after="0"/>
            </w:pPr>
            <w:r>
              <w:rPr>
                <w:rFonts w:ascii="Cambria" w:hAnsi="Cambria"/>
                <w:b w:val="0"/>
                <w:i w:val="0"/>
                <w:color w:val="262626"/>
                <w:sz w:val="18"/>
              </w:rPr>
              <w:t>3</w:t>
            </w:r>
          </w:p>
        </w:tc>
        <w:tc>
          <w:tcPr>
            <w:tcW w:type="dxa" w:w="5083"/>
            <w:tcMar>
              <w:top w:w="55" w:type="dxa"/>
              <w:start w:w="55" w:type="dxa"/>
              <w:bottom w:w="55" w:type="dxa"/>
              <w:end w:w="55" w:type="dxa"/>
            </w:tcMar>
            <w:vAlign w:val="center"/>
            <w:shd w:fill="F6F4F0"/>
          </w:tcPr>
          <w:p>
            <w:pPr>
              <w:spacing w:after="0"/>
            </w:pPr>
            <w:r>
              <w:rPr>
                <w:rFonts w:ascii="Cambria" w:hAnsi="Cambria"/>
                <w:b w:val="0"/>
                <w:i w:val="0"/>
                <w:color w:val="262626"/>
                <w:sz w:val="18"/>
              </w:rPr>
              <w:t>Controlled but not repeatable</w:t>
            </w:r>
          </w:p>
        </w:tc>
      </w:tr>
      <w:tr>
        <w:trPr>
          <w:cantSplit/>
        </w:trPr>
        <w:tc>
          <w:tcPr>
            <w:tcW w:type="dxa" w:w="5083"/>
            <w:tcMar>
              <w:top w:w="55" w:type="dxa"/>
              <w:start w:w="55" w:type="dxa"/>
              <w:bottom w:w="55" w:type="dxa"/>
              <w:end w:w="55" w:type="dxa"/>
            </w:tcMar>
            <w:vAlign w:val="center"/>
          </w:tcPr>
          <w:p>
            <w:pPr>
              <w:spacing w:after="0"/>
            </w:pPr>
            <w:r>
              <w:rPr>
                <w:rFonts w:ascii="Cambria" w:hAnsi="Cambria"/>
                <w:b w:val="0"/>
                <w:i w:val="0"/>
                <w:color w:val="262626"/>
                <w:sz w:val="18"/>
              </w:rPr>
              <w:t>4</w:t>
            </w:r>
          </w:p>
        </w:tc>
        <w:tc>
          <w:tcPr>
            <w:tcW w:type="dxa" w:w="5083"/>
            <w:tcMar>
              <w:top w:w="55" w:type="dxa"/>
              <w:start w:w="55" w:type="dxa"/>
              <w:bottom w:w="55" w:type="dxa"/>
              <w:end w:w="55" w:type="dxa"/>
            </w:tcMar>
            <w:vAlign w:val="center"/>
          </w:tcPr>
          <w:p>
            <w:pPr>
              <w:spacing w:after="0"/>
            </w:pPr>
            <w:r>
              <w:rPr>
                <w:rFonts w:ascii="Cambria" w:hAnsi="Cambria"/>
                <w:b w:val="0"/>
                <w:i w:val="0"/>
                <w:color w:val="262626"/>
                <w:sz w:val="18"/>
              </w:rPr>
              <w:t>Repeatable and reviewed</w:t>
            </w:r>
          </w:p>
        </w:tc>
      </w:tr>
      <w:tr>
        <w:trPr>
          <w:cantSplit/>
        </w:trPr>
        <w:tc>
          <w:tcPr>
            <w:tcW w:type="dxa" w:w="5083"/>
            <w:tcMar>
              <w:top w:w="55" w:type="dxa"/>
              <w:start w:w="55" w:type="dxa"/>
              <w:bottom w:w="55" w:type="dxa"/>
              <w:end w:w="55" w:type="dxa"/>
            </w:tcMar>
            <w:vAlign w:val="center"/>
            <w:shd w:fill="F6F4F0"/>
          </w:tcPr>
          <w:p>
            <w:pPr>
              <w:spacing w:after="0"/>
            </w:pPr>
            <w:r>
              <w:rPr>
                <w:rFonts w:ascii="Cambria" w:hAnsi="Cambria"/>
                <w:b w:val="0"/>
                <w:i w:val="0"/>
                <w:color w:val="262626"/>
                <w:sz w:val="18"/>
              </w:rPr>
              <w:t>5</w:t>
            </w:r>
          </w:p>
        </w:tc>
        <w:tc>
          <w:tcPr>
            <w:tcW w:type="dxa" w:w="5083"/>
            <w:tcMar>
              <w:top w:w="55" w:type="dxa"/>
              <w:start w:w="55" w:type="dxa"/>
              <w:bottom w:w="55" w:type="dxa"/>
              <w:end w:w="55" w:type="dxa"/>
            </w:tcMar>
            <w:vAlign w:val="center"/>
            <w:shd w:fill="F6F4F0"/>
          </w:tcPr>
          <w:p>
            <w:pPr>
              <w:spacing w:after="0"/>
            </w:pPr>
            <w:r>
              <w:rPr>
                <w:rFonts w:ascii="Cambria" w:hAnsi="Cambria"/>
                <w:b w:val="0"/>
                <w:i w:val="0"/>
                <w:color w:val="262626"/>
                <w:sz w:val="18"/>
              </w:rPr>
              <w:t>Automated, monitored, and continuously improved</w:t>
            </w:r>
          </w:p>
        </w:tc>
      </w:tr>
    </w:tbl>
    <w:p>
      <w:pPr>
        <w:pStyle w:val="Heading2"/>
      </w:pPr>
      <w:r>
        <w:rPr>
          <w:rFonts w:ascii="Cambria" w:hAnsi="Cambria"/>
          <w:b/>
          <w:i w:val="0"/>
          <w:color w:val="262626"/>
          <w:sz w:val="25"/>
        </w:rPr>
        <w:t>Blank Scorecard</w:t>
      </w:r>
    </w:p>
    <w:tbl>
      <w:tblPr>
        <w:tblW w:type="auto" w:w="0"/>
        <w:jc w:val="center"/>
        <w:tblLayout w:type="autofit"/>
        <w:tblLook w:firstColumn="1" w:firstRow="1" w:lastColumn="0" w:lastRow="0" w:noHBand="0" w:noVBand="1" w:val="04A0"/>
      </w:tblPr>
      <w:tblGrid>
        <w:gridCol w:w="1694"/>
        <w:gridCol w:w="1694"/>
        <w:gridCol w:w="1694"/>
        <w:gridCol w:w="1694"/>
        <w:gridCol w:w="1694"/>
        <w:gridCol w:w="1694"/>
      </w:tblGrid>
      <w:tr>
        <w:trPr>
          <w:cantSplit/>
          <w:tblHeader w:val="true"/>
        </w:trPr>
        <w:tc>
          <w:tcPr>
            <w:tcW w:type="dxa" w:w="1694"/>
            <w:tcMar>
              <w:top w:w="55" w:type="dxa"/>
              <w:start w:w="55" w:type="dxa"/>
              <w:bottom w:w="55" w:type="dxa"/>
              <w:end w:w="55" w:type="dxa"/>
            </w:tcMar>
            <w:vAlign w:val="center"/>
            <w:shd w:fill="44403C"/>
          </w:tcPr>
          <w:p>
            <w:pPr>
              <w:spacing w:after="0"/>
            </w:pPr>
            <w:r>
              <w:rPr>
                <w:rFonts w:ascii="Cambria" w:hAnsi="Cambria"/>
                <w:b/>
                <w:i w:val="0"/>
                <w:color w:val="FFFFFF"/>
                <w:sz w:val="15"/>
              </w:rPr>
              <w:t>Domain</w:t>
            </w:r>
          </w:p>
        </w:tc>
        <w:tc>
          <w:tcPr>
            <w:tcW w:type="dxa" w:w="1694"/>
            <w:tcMar>
              <w:top w:w="55" w:type="dxa"/>
              <w:start w:w="55" w:type="dxa"/>
              <w:bottom w:w="55" w:type="dxa"/>
              <w:end w:w="55" w:type="dxa"/>
            </w:tcMar>
            <w:vAlign w:val="center"/>
            <w:shd w:fill="44403C"/>
          </w:tcPr>
          <w:p>
            <w:pPr>
              <w:spacing w:after="0"/>
            </w:pPr>
            <w:r>
              <w:rPr>
                <w:rFonts w:ascii="Cambria" w:hAnsi="Cambria"/>
                <w:b/>
                <w:i w:val="0"/>
                <w:color w:val="FFFFFF"/>
                <w:sz w:val="15"/>
              </w:rPr>
              <w:t>Current</w:t>
            </w:r>
          </w:p>
        </w:tc>
        <w:tc>
          <w:tcPr>
            <w:tcW w:type="dxa" w:w="1694"/>
            <w:tcMar>
              <w:top w:w="55" w:type="dxa"/>
              <w:start w:w="55" w:type="dxa"/>
              <w:bottom w:w="55" w:type="dxa"/>
              <w:end w:w="55" w:type="dxa"/>
            </w:tcMar>
            <w:vAlign w:val="center"/>
            <w:shd w:fill="44403C"/>
          </w:tcPr>
          <w:p>
            <w:pPr>
              <w:spacing w:after="0"/>
            </w:pPr>
            <w:r>
              <w:rPr>
                <w:rFonts w:ascii="Cambria" w:hAnsi="Cambria"/>
                <w:b/>
                <w:i w:val="0"/>
                <w:color w:val="FFFFFF"/>
                <w:sz w:val="15"/>
              </w:rPr>
              <w:t>Target</w:t>
            </w:r>
          </w:p>
        </w:tc>
        <w:tc>
          <w:tcPr>
            <w:tcW w:type="dxa" w:w="1694"/>
            <w:tcMar>
              <w:top w:w="55" w:type="dxa"/>
              <w:start w:w="55" w:type="dxa"/>
              <w:bottom w:w="55" w:type="dxa"/>
              <w:end w:w="55" w:type="dxa"/>
            </w:tcMar>
            <w:vAlign w:val="center"/>
            <w:shd w:fill="44403C"/>
          </w:tcPr>
          <w:p>
            <w:pPr>
              <w:spacing w:after="0"/>
            </w:pPr>
            <w:r>
              <w:rPr>
                <w:rFonts w:ascii="Cambria" w:hAnsi="Cambria"/>
                <w:b/>
                <w:i w:val="0"/>
                <w:color w:val="FFFFFF"/>
                <w:sz w:val="15"/>
              </w:rPr>
              <w:t>Evidence Reviewed</w:t>
            </w:r>
          </w:p>
        </w:tc>
        <w:tc>
          <w:tcPr>
            <w:tcW w:type="dxa" w:w="1694"/>
            <w:tcMar>
              <w:top w:w="55" w:type="dxa"/>
              <w:start w:w="55" w:type="dxa"/>
              <w:bottom w:w="55" w:type="dxa"/>
              <w:end w:w="55" w:type="dxa"/>
            </w:tcMar>
            <w:vAlign w:val="center"/>
            <w:shd w:fill="44403C"/>
          </w:tcPr>
          <w:p>
            <w:pPr>
              <w:spacing w:after="0"/>
            </w:pPr>
            <w:r>
              <w:rPr>
                <w:rFonts w:ascii="Cambria" w:hAnsi="Cambria"/>
                <w:b/>
                <w:i w:val="0"/>
                <w:color w:val="FFFFFF"/>
                <w:sz w:val="15"/>
              </w:rPr>
              <w:t>Observed Gap</w:t>
            </w:r>
          </w:p>
        </w:tc>
        <w:tc>
          <w:tcPr>
            <w:tcW w:type="dxa" w:w="1694"/>
            <w:tcMar>
              <w:top w:w="55" w:type="dxa"/>
              <w:start w:w="55" w:type="dxa"/>
              <w:bottom w:w="55" w:type="dxa"/>
              <w:end w:w="55" w:type="dxa"/>
            </w:tcMar>
            <w:vAlign w:val="center"/>
            <w:shd w:fill="44403C"/>
          </w:tcPr>
          <w:p>
            <w:pPr>
              <w:spacing w:after="0"/>
            </w:pPr>
            <w:r>
              <w:rPr>
                <w:rFonts w:ascii="Cambria" w:hAnsi="Cambria"/>
                <w:b/>
                <w:i w:val="0"/>
                <w:color w:val="FFFFFF"/>
                <w:sz w:val="15"/>
              </w:rPr>
              <w:t>Owner</w:t>
            </w:r>
          </w:p>
        </w:tc>
      </w:tr>
      <w:tr>
        <w:trPr>
          <w:cantSplit/>
        </w:trPr>
        <w:tc>
          <w:tcPr>
            <w:tcW w:type="dxa" w:w="1694"/>
            <w:tcMar>
              <w:top w:w="55" w:type="dxa"/>
              <w:start w:w="55" w:type="dxa"/>
              <w:bottom w:w="55" w:type="dxa"/>
              <w:end w:w="55" w:type="dxa"/>
            </w:tcMar>
            <w:vAlign w:val="center"/>
          </w:tcPr>
          <w:p>
            <w:pPr>
              <w:spacing w:after="0"/>
            </w:pPr>
            <w:r>
              <w:rPr>
                <w:rFonts w:ascii="Cambria" w:hAnsi="Cambria"/>
                <w:b/>
                <w:i w:val="0"/>
                <w:color w:val="262626"/>
                <w:sz w:val="15"/>
              </w:rPr>
              <w:t>Asset inventory</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r>
      <w:tr>
        <w:trPr>
          <w:cantSplit/>
        </w:trPr>
        <w:tc>
          <w:tcPr>
            <w:tcW w:type="dxa" w:w="1694"/>
            <w:tcMar>
              <w:top w:w="55" w:type="dxa"/>
              <w:start w:w="55" w:type="dxa"/>
              <w:bottom w:w="55" w:type="dxa"/>
              <w:end w:w="55" w:type="dxa"/>
            </w:tcMar>
            <w:vAlign w:val="center"/>
            <w:shd w:fill="F6F4F0"/>
          </w:tcPr>
          <w:p>
            <w:pPr>
              <w:spacing w:after="0"/>
            </w:pPr>
            <w:r>
              <w:rPr>
                <w:rFonts w:ascii="Cambria" w:hAnsi="Cambria"/>
                <w:b/>
                <w:i w:val="0"/>
                <w:color w:val="262626"/>
                <w:sz w:val="15"/>
              </w:rPr>
              <w:t>Identity readiness</w:t>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r>
      <w:tr>
        <w:trPr>
          <w:cantSplit/>
        </w:trPr>
        <w:tc>
          <w:tcPr>
            <w:tcW w:type="dxa" w:w="1694"/>
            <w:tcMar>
              <w:top w:w="55" w:type="dxa"/>
              <w:start w:w="55" w:type="dxa"/>
              <w:bottom w:w="55" w:type="dxa"/>
              <w:end w:w="55" w:type="dxa"/>
            </w:tcMar>
            <w:vAlign w:val="center"/>
          </w:tcPr>
          <w:p>
            <w:pPr>
              <w:spacing w:after="0"/>
            </w:pPr>
            <w:r>
              <w:rPr>
                <w:rFonts w:ascii="Cambria" w:hAnsi="Cambria"/>
                <w:b/>
                <w:i w:val="0"/>
                <w:color w:val="262626"/>
                <w:sz w:val="15"/>
              </w:rPr>
              <w:t>Privileged access governance</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r>
      <w:tr>
        <w:trPr>
          <w:cantSplit/>
        </w:trPr>
        <w:tc>
          <w:tcPr>
            <w:tcW w:type="dxa" w:w="1694"/>
            <w:tcMar>
              <w:top w:w="55" w:type="dxa"/>
              <w:start w:w="55" w:type="dxa"/>
              <w:bottom w:w="55" w:type="dxa"/>
              <w:end w:w="55" w:type="dxa"/>
            </w:tcMar>
            <w:vAlign w:val="center"/>
            <w:shd w:fill="F6F4F0"/>
          </w:tcPr>
          <w:p>
            <w:pPr>
              <w:spacing w:after="0"/>
            </w:pPr>
            <w:r>
              <w:rPr>
                <w:rFonts w:ascii="Cambria" w:hAnsi="Cambria"/>
                <w:b/>
                <w:i w:val="0"/>
                <w:color w:val="262626"/>
                <w:sz w:val="15"/>
              </w:rPr>
              <w:t>Endpoint visibility</w:t>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r>
      <w:tr>
        <w:trPr>
          <w:cantSplit/>
        </w:trPr>
        <w:tc>
          <w:tcPr>
            <w:tcW w:type="dxa" w:w="1694"/>
            <w:tcMar>
              <w:top w:w="55" w:type="dxa"/>
              <w:start w:w="55" w:type="dxa"/>
              <w:bottom w:w="55" w:type="dxa"/>
              <w:end w:w="55" w:type="dxa"/>
            </w:tcMar>
            <w:vAlign w:val="center"/>
          </w:tcPr>
          <w:p>
            <w:pPr>
              <w:spacing w:after="0"/>
            </w:pPr>
            <w:r>
              <w:rPr>
                <w:rFonts w:ascii="Cambria" w:hAnsi="Cambria"/>
                <w:b/>
                <w:i w:val="0"/>
                <w:color w:val="262626"/>
                <w:sz w:val="15"/>
              </w:rPr>
              <w:t>Network segmentation readiness</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r>
      <w:tr>
        <w:trPr>
          <w:cantSplit/>
        </w:trPr>
        <w:tc>
          <w:tcPr>
            <w:tcW w:type="dxa" w:w="1694"/>
            <w:tcMar>
              <w:top w:w="55" w:type="dxa"/>
              <w:start w:w="55" w:type="dxa"/>
              <w:bottom w:w="55" w:type="dxa"/>
              <w:end w:w="55" w:type="dxa"/>
            </w:tcMar>
            <w:vAlign w:val="center"/>
            <w:shd w:fill="F6F4F0"/>
          </w:tcPr>
          <w:p>
            <w:pPr>
              <w:spacing w:after="0"/>
            </w:pPr>
            <w:r>
              <w:rPr>
                <w:rFonts w:ascii="Cambria" w:hAnsi="Cambria"/>
                <w:b/>
                <w:i w:val="0"/>
                <w:color w:val="262626"/>
                <w:sz w:val="15"/>
              </w:rPr>
              <w:t>Logging and monitoring</w:t>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r>
      <w:tr>
        <w:trPr>
          <w:cantSplit/>
        </w:trPr>
        <w:tc>
          <w:tcPr>
            <w:tcW w:type="dxa" w:w="1694"/>
            <w:tcMar>
              <w:top w:w="55" w:type="dxa"/>
              <w:start w:w="55" w:type="dxa"/>
              <w:bottom w:w="55" w:type="dxa"/>
              <w:end w:w="55" w:type="dxa"/>
            </w:tcMar>
            <w:vAlign w:val="center"/>
          </w:tcPr>
          <w:p>
            <w:pPr>
              <w:spacing w:after="0"/>
            </w:pPr>
            <w:r>
              <w:rPr>
                <w:rFonts w:ascii="Cambria" w:hAnsi="Cambria"/>
                <w:b/>
                <w:i w:val="0"/>
                <w:color w:val="262626"/>
                <w:sz w:val="15"/>
              </w:rPr>
              <w:t>Data sensitivity awareness</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r>
      <w:tr>
        <w:trPr>
          <w:cantSplit/>
        </w:trPr>
        <w:tc>
          <w:tcPr>
            <w:tcW w:type="dxa" w:w="1694"/>
            <w:tcMar>
              <w:top w:w="55" w:type="dxa"/>
              <w:start w:w="55" w:type="dxa"/>
              <w:bottom w:w="55" w:type="dxa"/>
              <w:end w:w="55" w:type="dxa"/>
            </w:tcMar>
            <w:vAlign w:val="center"/>
            <w:shd w:fill="F6F4F0"/>
          </w:tcPr>
          <w:p>
            <w:pPr>
              <w:spacing w:after="0"/>
            </w:pPr>
            <w:r>
              <w:rPr>
                <w:rFonts w:ascii="Cambria" w:hAnsi="Cambria"/>
                <w:b/>
                <w:i w:val="0"/>
                <w:color w:val="262626"/>
                <w:sz w:val="15"/>
              </w:rPr>
              <w:t>Backup &amp; disaster recovery</w:t>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r>
      <w:tr>
        <w:trPr>
          <w:cantSplit/>
        </w:trPr>
        <w:tc>
          <w:tcPr>
            <w:tcW w:type="dxa" w:w="1694"/>
            <w:tcMar>
              <w:top w:w="55" w:type="dxa"/>
              <w:start w:w="55" w:type="dxa"/>
              <w:bottom w:w="55" w:type="dxa"/>
              <w:end w:w="55" w:type="dxa"/>
            </w:tcMar>
            <w:vAlign w:val="center"/>
          </w:tcPr>
          <w:p>
            <w:pPr>
              <w:spacing w:after="0"/>
            </w:pPr>
            <w:r>
              <w:rPr>
                <w:rFonts w:ascii="Cambria" w:hAnsi="Cambria"/>
                <w:b/>
                <w:i w:val="0"/>
                <w:color w:val="262626"/>
                <w:sz w:val="15"/>
              </w:rPr>
              <w:t>Application dependency visibility</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r>
      <w:tr>
        <w:trPr>
          <w:cantSplit/>
        </w:trPr>
        <w:tc>
          <w:tcPr>
            <w:tcW w:type="dxa" w:w="1694"/>
            <w:tcMar>
              <w:top w:w="55" w:type="dxa"/>
              <w:start w:w="55" w:type="dxa"/>
              <w:bottom w:w="55" w:type="dxa"/>
              <w:end w:w="55" w:type="dxa"/>
            </w:tcMar>
            <w:vAlign w:val="center"/>
            <w:shd w:fill="F6F4F0"/>
          </w:tcPr>
          <w:p>
            <w:pPr>
              <w:spacing w:after="0"/>
            </w:pPr>
            <w:r>
              <w:rPr>
                <w:rFonts w:ascii="Cambria" w:hAnsi="Cambria"/>
                <w:b/>
                <w:i w:val="0"/>
                <w:color w:val="262626"/>
                <w:sz w:val="15"/>
              </w:rPr>
              <w:t>Documentation maturity</w:t>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r>
      <w:tr>
        <w:trPr>
          <w:cantSplit/>
        </w:trPr>
        <w:tc>
          <w:tcPr>
            <w:tcW w:type="dxa" w:w="1694"/>
            <w:tcMar>
              <w:top w:w="55" w:type="dxa"/>
              <w:start w:w="55" w:type="dxa"/>
              <w:bottom w:w="55" w:type="dxa"/>
              <w:end w:w="55" w:type="dxa"/>
            </w:tcMar>
            <w:vAlign w:val="center"/>
          </w:tcPr>
          <w:p>
            <w:pPr>
              <w:spacing w:after="0"/>
            </w:pPr>
            <w:r>
              <w:rPr>
                <w:rFonts w:ascii="Cambria" w:hAnsi="Cambria"/>
                <w:b/>
                <w:i w:val="0"/>
                <w:color w:val="262626"/>
                <w:sz w:val="15"/>
              </w:rPr>
              <w:t>Internal team readiness</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r>
          </w:p>
        </w:tc>
      </w:tr>
      <w:tr>
        <w:trPr>
          <w:cantSplit/>
        </w:trPr>
        <w:tc>
          <w:tcPr>
            <w:tcW w:type="dxa" w:w="1694"/>
            <w:tcMar>
              <w:top w:w="55" w:type="dxa"/>
              <w:start w:w="55" w:type="dxa"/>
              <w:bottom w:w="55" w:type="dxa"/>
              <w:end w:w="55" w:type="dxa"/>
            </w:tcMar>
            <w:vAlign w:val="center"/>
            <w:shd w:fill="F6F4F0"/>
          </w:tcPr>
          <w:p>
            <w:pPr>
              <w:spacing w:after="0"/>
            </w:pPr>
            <w:r>
              <w:rPr>
                <w:rFonts w:ascii="Cambria" w:hAnsi="Cambria"/>
                <w:b/>
                <w:i w:val="0"/>
                <w:color w:val="262626"/>
                <w:sz w:val="15"/>
              </w:rPr>
              <w:t>Exception governance</w:t>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r>
          </w:p>
        </w:tc>
      </w:tr>
    </w:tbl>
    <w:p>
      <w:pPr>
        <w:pStyle w:val="Heading2"/>
      </w:pPr>
      <w:r>
        <w:rPr>
          <w:rFonts w:ascii="Cambria" w:hAnsi="Cambria"/>
          <w:b/>
          <w:i w:val="0"/>
          <w:color w:val="262626"/>
          <w:sz w:val="25"/>
        </w:rPr>
        <w:t>Hypothetical Example</w:t>
      </w:r>
    </w:p>
    <w:tbl>
      <w:tblPr>
        <w:tblW w:type="auto" w:w="0"/>
        <w:jc w:val="center"/>
        <w:tblLayout w:type="autofit"/>
        <w:tblLook w:firstColumn="1" w:firstRow="1" w:lastColumn="0" w:lastRow="0" w:noHBand="0" w:noVBand="1" w:val="04A0"/>
      </w:tblPr>
      <w:tblGrid>
        <w:gridCol w:w="1694"/>
        <w:gridCol w:w="1694"/>
        <w:gridCol w:w="1694"/>
        <w:gridCol w:w="1694"/>
        <w:gridCol w:w="1694"/>
        <w:gridCol w:w="1694"/>
      </w:tblGrid>
      <w:tr>
        <w:trPr>
          <w:cantSplit/>
          <w:tblHeader w:val="true"/>
        </w:trPr>
        <w:tc>
          <w:tcPr>
            <w:tcW w:type="dxa" w:w="1694"/>
            <w:tcMar>
              <w:top w:w="55" w:type="dxa"/>
              <w:start w:w="55" w:type="dxa"/>
              <w:bottom w:w="55" w:type="dxa"/>
              <w:end w:w="55" w:type="dxa"/>
            </w:tcMar>
            <w:vAlign w:val="center"/>
            <w:shd w:fill="44403C"/>
          </w:tcPr>
          <w:p>
            <w:pPr>
              <w:spacing w:after="0"/>
            </w:pPr>
            <w:r>
              <w:rPr>
                <w:rFonts w:ascii="Cambria" w:hAnsi="Cambria"/>
                <w:b/>
                <w:i w:val="0"/>
                <w:color w:val="FFFFFF"/>
                <w:sz w:val="16"/>
              </w:rPr>
              <w:t>Domain</w:t>
            </w:r>
          </w:p>
        </w:tc>
        <w:tc>
          <w:tcPr>
            <w:tcW w:type="dxa" w:w="1694"/>
            <w:tcMar>
              <w:top w:w="55" w:type="dxa"/>
              <w:start w:w="55" w:type="dxa"/>
              <w:bottom w:w="55" w:type="dxa"/>
              <w:end w:w="55" w:type="dxa"/>
            </w:tcMar>
            <w:vAlign w:val="center"/>
            <w:shd w:fill="44403C"/>
          </w:tcPr>
          <w:p>
            <w:pPr>
              <w:spacing w:after="0"/>
            </w:pPr>
            <w:r>
              <w:rPr>
                <w:rFonts w:ascii="Cambria" w:hAnsi="Cambria"/>
                <w:b/>
                <w:i w:val="0"/>
                <w:color w:val="FFFFFF"/>
                <w:sz w:val="16"/>
              </w:rPr>
              <w:t>Current</w:t>
            </w:r>
          </w:p>
        </w:tc>
        <w:tc>
          <w:tcPr>
            <w:tcW w:type="dxa" w:w="1694"/>
            <w:tcMar>
              <w:top w:w="55" w:type="dxa"/>
              <w:start w:w="55" w:type="dxa"/>
              <w:bottom w:w="55" w:type="dxa"/>
              <w:end w:w="55" w:type="dxa"/>
            </w:tcMar>
            <w:vAlign w:val="center"/>
            <w:shd w:fill="44403C"/>
          </w:tcPr>
          <w:p>
            <w:pPr>
              <w:spacing w:after="0"/>
            </w:pPr>
            <w:r>
              <w:rPr>
                <w:rFonts w:ascii="Cambria" w:hAnsi="Cambria"/>
                <w:b/>
                <w:i w:val="0"/>
                <w:color w:val="FFFFFF"/>
                <w:sz w:val="16"/>
              </w:rPr>
              <w:t>Target</w:t>
            </w:r>
          </w:p>
        </w:tc>
        <w:tc>
          <w:tcPr>
            <w:tcW w:type="dxa" w:w="1694"/>
            <w:tcMar>
              <w:top w:w="55" w:type="dxa"/>
              <w:start w:w="55" w:type="dxa"/>
              <w:bottom w:w="55" w:type="dxa"/>
              <w:end w:w="55" w:type="dxa"/>
            </w:tcMar>
            <w:vAlign w:val="center"/>
            <w:shd w:fill="44403C"/>
          </w:tcPr>
          <w:p>
            <w:pPr>
              <w:spacing w:after="0"/>
            </w:pPr>
            <w:r>
              <w:rPr>
                <w:rFonts w:ascii="Cambria" w:hAnsi="Cambria"/>
                <w:b/>
                <w:i w:val="0"/>
                <w:color w:val="FFFFFF"/>
                <w:sz w:val="16"/>
              </w:rPr>
              <w:t>Observed Gap</w:t>
            </w:r>
          </w:p>
        </w:tc>
        <w:tc>
          <w:tcPr>
            <w:tcW w:type="dxa" w:w="1694"/>
            <w:tcMar>
              <w:top w:w="55" w:type="dxa"/>
              <w:start w:w="55" w:type="dxa"/>
              <w:bottom w:w="55" w:type="dxa"/>
              <w:end w:w="55" w:type="dxa"/>
            </w:tcMar>
            <w:vAlign w:val="center"/>
            <w:shd w:fill="44403C"/>
          </w:tcPr>
          <w:p>
            <w:pPr>
              <w:spacing w:after="0"/>
            </w:pPr>
            <w:r>
              <w:rPr>
                <w:rFonts w:ascii="Cambria" w:hAnsi="Cambria"/>
                <w:b/>
                <w:i w:val="0"/>
                <w:color w:val="FFFFFF"/>
                <w:sz w:val="16"/>
              </w:rPr>
              <w:t>Priority</w:t>
            </w:r>
          </w:p>
        </w:tc>
        <w:tc>
          <w:tcPr>
            <w:tcW w:type="dxa" w:w="1694"/>
            <w:tcMar>
              <w:top w:w="55" w:type="dxa"/>
              <w:start w:w="55" w:type="dxa"/>
              <w:bottom w:w="55" w:type="dxa"/>
              <w:end w:w="55" w:type="dxa"/>
            </w:tcMar>
            <w:vAlign w:val="center"/>
            <w:shd w:fill="44403C"/>
          </w:tcPr>
          <w:p>
            <w:pPr>
              <w:spacing w:after="0"/>
            </w:pPr>
            <w:r>
              <w:rPr>
                <w:rFonts w:ascii="Cambria" w:hAnsi="Cambria"/>
                <w:b/>
                <w:i w:val="0"/>
                <w:color w:val="FFFFFF"/>
                <w:sz w:val="16"/>
              </w:rPr>
              <w:t>Action</w:t>
            </w:r>
          </w:p>
        </w:tc>
      </w:tr>
      <w:tr>
        <w:trPr>
          <w:cantSplit/>
        </w:trPr>
        <w:tc>
          <w:tcPr>
            <w:tcW w:type="dxa" w:w="1694"/>
            <w:tcMar>
              <w:top w:w="55" w:type="dxa"/>
              <w:start w:w="55" w:type="dxa"/>
              <w:bottom w:w="55" w:type="dxa"/>
              <w:end w:w="55" w:type="dxa"/>
            </w:tcMar>
            <w:vAlign w:val="center"/>
          </w:tcPr>
          <w:p>
            <w:pPr>
              <w:spacing w:after="0"/>
            </w:pPr>
            <w:r>
              <w:rPr>
                <w:rFonts w:ascii="Cambria" w:hAnsi="Cambria"/>
                <w:b w:val="0"/>
                <w:i w:val="0"/>
                <w:color w:val="262626"/>
                <w:sz w:val="16"/>
              </w:rPr>
              <w:t>Asset inventory</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6"/>
              </w:rPr>
              <w:t>2</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6"/>
              </w:rPr>
              <w:t>4</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6"/>
              </w:rPr>
              <w:t>Unmanaged branch devices not reconciled</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6"/>
              </w:rPr>
              <w:t>High</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6"/>
              </w:rPr>
              <w:t>Reconcile CMDB with discovery scan</w:t>
            </w:r>
          </w:p>
        </w:tc>
      </w:tr>
      <w:tr>
        <w:trPr>
          <w:cantSplit/>
        </w:trPr>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6"/>
              </w:rPr>
              <w:t>Identity readiness</w:t>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6"/>
              </w:rPr>
              <w:t>3</w:t>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6"/>
              </w:rPr>
              <w:t>4</w:t>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6"/>
              </w:rPr>
              <w:t>Legacy applications still use local accounts</w:t>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6"/>
              </w:rPr>
              <w:t>High</w:t>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6"/>
              </w:rPr>
              <w:t>Plan SSO/MFA transition</w:t>
            </w:r>
          </w:p>
        </w:tc>
      </w:tr>
      <w:tr>
        <w:trPr>
          <w:cantSplit/>
        </w:trPr>
        <w:tc>
          <w:tcPr>
            <w:tcW w:type="dxa" w:w="1694"/>
            <w:tcMar>
              <w:top w:w="55" w:type="dxa"/>
              <w:start w:w="55" w:type="dxa"/>
              <w:bottom w:w="55" w:type="dxa"/>
              <w:end w:w="55" w:type="dxa"/>
            </w:tcMar>
            <w:vAlign w:val="center"/>
          </w:tcPr>
          <w:p>
            <w:pPr>
              <w:spacing w:after="0"/>
            </w:pPr>
            <w:r>
              <w:rPr>
                <w:rFonts w:ascii="Cambria" w:hAnsi="Cambria"/>
                <w:b w:val="0"/>
                <w:i w:val="0"/>
                <w:color w:val="262626"/>
                <w:sz w:val="16"/>
              </w:rPr>
              <w:t>Segmentation readiness</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6"/>
              </w:rPr>
              <w:t>1</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6"/>
              </w:rPr>
              <w:t>3</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6"/>
              </w:rPr>
              <w:t>Dependencies not fully mapped</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6"/>
              </w:rPr>
              <w:t>Critical</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6"/>
              </w:rPr>
              <w:t>Complete flow discovery before enforcement</w:t>
            </w:r>
          </w:p>
        </w:tc>
      </w:tr>
      <w:tr>
        <w:trPr>
          <w:cantSplit/>
        </w:trPr>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6"/>
              </w:rPr>
              <w:t>Logging &amp; monitoring</w:t>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6"/>
              </w:rPr>
              <w:t>3</w:t>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6"/>
              </w:rPr>
              <w:t>4</w:t>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6"/>
              </w:rPr>
              <w:t>Cloud control-plane logs incomplete</w:t>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6"/>
              </w:rPr>
              <w:t>High</w:t>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6"/>
              </w:rPr>
              <w:t>Close telemetry gaps before cutover</w:t>
            </w:r>
          </w:p>
        </w:tc>
      </w:tr>
      <w:tr>
        <w:trPr>
          <w:cantSplit/>
        </w:trPr>
        <w:tc>
          <w:tcPr>
            <w:tcW w:type="dxa" w:w="1694"/>
            <w:tcMar>
              <w:top w:w="55" w:type="dxa"/>
              <w:start w:w="55" w:type="dxa"/>
              <w:bottom w:w="55" w:type="dxa"/>
              <w:end w:w="55" w:type="dxa"/>
            </w:tcMar>
            <w:vAlign w:val="center"/>
          </w:tcPr>
          <w:p>
            <w:pPr>
              <w:spacing w:after="0"/>
            </w:pPr>
            <w:r>
              <w:rPr>
                <w:rFonts w:ascii="Cambria" w:hAnsi="Cambria"/>
                <w:b w:val="0"/>
                <w:i w:val="0"/>
                <w:color w:val="262626"/>
                <w:sz w:val="16"/>
              </w:rPr>
              <w:t>Exception governance</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6"/>
              </w:rPr>
              <w:t>1</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6"/>
              </w:rPr>
              <w:t>4</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6"/>
              </w:rPr>
              <w:t>Temporary rules lack expiry owners</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6"/>
              </w:rPr>
              <w:t>Critical</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6"/>
              </w:rPr>
              <w:t>Create exception register and retirement dates</w:t>
            </w:r>
          </w:p>
        </w:tc>
      </w:tr>
    </w:tbl>
    <w:p>
      <w:pPr>
        <w:pStyle w:val="Heading1"/>
      </w:pPr>
      <w:r>
        <w:t>5. Transition-State Risk Register</w:t>
      </w:r>
    </w:p>
    <w:p>
      <w:pPr>
        <w:spacing w:after="160"/>
      </w:pPr>
      <w:r>
        <w:rPr>
          <w:rFonts w:ascii="Cambria" w:hAnsi="Cambria"/>
          <w:b w:val="0"/>
          <w:i w:val="0"/>
          <w:color w:val="262626"/>
          <w:sz w:val="21"/>
        </w:rPr>
        <w:t>A governance record for temporary conditions created while legacy and Zero Trust controls coexist.</w:t>
      </w:r>
    </w:p>
    <w:p>
      <w:pPr>
        <w:spacing w:before="200" w:after="20"/>
        <w:ind w:left="220"/>
      </w:pPr>
      <w:r>
        <w:rPr>
          <w:rFonts w:ascii="Cambria" w:hAnsi="Cambria"/>
          <w:b/>
          <w:i w:val="0"/>
          <w:color w:val="262626"/>
          <w:sz w:val="21"/>
        </w:rPr>
        <w:t>How this template complements SP 1800-35.</w:t>
      </w:r>
    </w:p>
    <w:p>
      <w:pPr>
        <w:spacing w:before="20" w:after="140"/>
        <w:ind w:left="220"/>
      </w:pPr>
      <w:r>
        <w:rPr>
          <w:rFonts w:ascii="Cambria" w:hAnsi="Cambria"/>
          <w:b w:val="0"/>
          <w:i/>
          <w:color w:val="262626"/>
          <w:sz w:val="19"/>
        </w:rPr>
        <w:t>The register makes transition risks explicit by requiring ownership, compensating controls, monitoring, expiration dates, and measurable retirement conditions.  Alignment: SP 1800-35 Sections 8.4-8.7.</w:t>
      </w:r>
    </w:p>
    <w:p>
      <w:pPr>
        <w:pStyle w:val="Heading2"/>
      </w:pPr>
      <w:r>
        <w:rPr>
          <w:rFonts w:ascii="Cambria" w:hAnsi="Cambria"/>
          <w:b/>
          <w:i w:val="0"/>
          <w:color w:val="262626"/>
          <w:sz w:val="25"/>
        </w:rPr>
        <w:t>Register Summary Template</w:t>
      </w:r>
    </w:p>
    <w:tbl>
      <w:tblPr>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cantSplit/>
          <w:tblHeader w:val="true"/>
        </w:trPr>
        <w:tc>
          <w:tcPr>
            <w:tcW w:type="dxa" w:w="1452"/>
            <w:tcMar>
              <w:top w:w="55" w:type="dxa"/>
              <w:start w:w="55" w:type="dxa"/>
              <w:bottom w:w="55" w:type="dxa"/>
              <w:end w:w="55" w:type="dxa"/>
            </w:tcMar>
            <w:vAlign w:val="center"/>
            <w:shd w:fill="44403C"/>
          </w:tcPr>
          <w:p>
            <w:pPr>
              <w:spacing w:after="0"/>
            </w:pPr>
            <w:r>
              <w:rPr>
                <w:rFonts w:ascii="Cambria" w:hAnsi="Cambria"/>
                <w:b/>
                <w:i w:val="0"/>
                <w:color w:val="FFFFFF"/>
                <w:sz w:val="16"/>
              </w:rPr>
              <w:t>Risk ID</w:t>
            </w:r>
          </w:p>
        </w:tc>
        <w:tc>
          <w:tcPr>
            <w:tcW w:type="dxa" w:w="1452"/>
            <w:tcMar>
              <w:top w:w="55" w:type="dxa"/>
              <w:start w:w="55" w:type="dxa"/>
              <w:bottom w:w="55" w:type="dxa"/>
              <w:end w:w="55" w:type="dxa"/>
            </w:tcMar>
            <w:vAlign w:val="center"/>
            <w:shd w:fill="44403C"/>
          </w:tcPr>
          <w:p>
            <w:pPr>
              <w:spacing w:after="0"/>
            </w:pPr>
            <w:r>
              <w:rPr>
                <w:rFonts w:ascii="Cambria" w:hAnsi="Cambria"/>
                <w:b/>
                <w:i w:val="0"/>
                <w:color w:val="FFFFFF"/>
                <w:sz w:val="16"/>
              </w:rPr>
              <w:t>System / Workload</w:t>
            </w:r>
          </w:p>
        </w:tc>
        <w:tc>
          <w:tcPr>
            <w:tcW w:type="dxa" w:w="1452"/>
            <w:tcMar>
              <w:top w:w="55" w:type="dxa"/>
              <w:start w:w="55" w:type="dxa"/>
              <w:bottom w:w="55" w:type="dxa"/>
              <w:end w:w="55" w:type="dxa"/>
            </w:tcMar>
            <w:vAlign w:val="center"/>
            <w:shd w:fill="44403C"/>
          </w:tcPr>
          <w:p>
            <w:pPr>
              <w:spacing w:after="0"/>
            </w:pPr>
            <w:r>
              <w:rPr>
                <w:rFonts w:ascii="Cambria" w:hAnsi="Cambria"/>
                <w:b/>
                <w:i w:val="0"/>
                <w:color w:val="FFFFFF"/>
                <w:sz w:val="16"/>
              </w:rPr>
              <w:t>Temporary Exception</w:t>
            </w:r>
          </w:p>
        </w:tc>
        <w:tc>
          <w:tcPr>
            <w:tcW w:type="dxa" w:w="1452"/>
            <w:tcMar>
              <w:top w:w="55" w:type="dxa"/>
              <w:start w:w="55" w:type="dxa"/>
              <w:bottom w:w="55" w:type="dxa"/>
              <w:end w:w="55" w:type="dxa"/>
            </w:tcMar>
            <w:vAlign w:val="center"/>
            <w:shd w:fill="44403C"/>
          </w:tcPr>
          <w:p>
            <w:pPr>
              <w:spacing w:after="0"/>
            </w:pPr>
            <w:r>
              <w:rPr>
                <w:rFonts w:ascii="Cambria" w:hAnsi="Cambria"/>
                <w:b/>
                <w:i w:val="0"/>
                <w:color w:val="FFFFFF"/>
                <w:sz w:val="16"/>
              </w:rPr>
              <w:t>Risk Rating</w:t>
            </w:r>
          </w:p>
        </w:tc>
        <w:tc>
          <w:tcPr>
            <w:tcW w:type="dxa" w:w="1452"/>
            <w:tcMar>
              <w:top w:w="55" w:type="dxa"/>
              <w:start w:w="55" w:type="dxa"/>
              <w:bottom w:w="55" w:type="dxa"/>
              <w:end w:w="55" w:type="dxa"/>
            </w:tcMar>
            <w:vAlign w:val="center"/>
            <w:shd w:fill="44403C"/>
          </w:tcPr>
          <w:p>
            <w:pPr>
              <w:spacing w:after="0"/>
            </w:pPr>
            <w:r>
              <w:rPr>
                <w:rFonts w:ascii="Cambria" w:hAnsi="Cambria"/>
                <w:b/>
                <w:i w:val="0"/>
                <w:color w:val="FFFFFF"/>
                <w:sz w:val="16"/>
              </w:rPr>
              <w:t>Status</w:t>
            </w:r>
          </w:p>
        </w:tc>
        <w:tc>
          <w:tcPr>
            <w:tcW w:type="dxa" w:w="1452"/>
            <w:tcMar>
              <w:top w:w="55" w:type="dxa"/>
              <w:start w:w="55" w:type="dxa"/>
              <w:bottom w:w="55" w:type="dxa"/>
              <w:end w:w="55" w:type="dxa"/>
            </w:tcMar>
            <w:vAlign w:val="center"/>
            <w:shd w:fill="44403C"/>
          </w:tcPr>
          <w:p>
            <w:pPr>
              <w:spacing w:after="0"/>
            </w:pPr>
            <w:r>
              <w:rPr>
                <w:rFonts w:ascii="Cambria" w:hAnsi="Cambria"/>
                <w:b/>
                <w:i w:val="0"/>
                <w:color w:val="FFFFFF"/>
                <w:sz w:val="16"/>
              </w:rPr>
              <w:t>Expiry</w:t>
            </w:r>
          </w:p>
        </w:tc>
        <w:tc>
          <w:tcPr>
            <w:tcW w:type="dxa" w:w="1452"/>
            <w:tcMar>
              <w:top w:w="55" w:type="dxa"/>
              <w:start w:w="55" w:type="dxa"/>
              <w:bottom w:w="55" w:type="dxa"/>
              <w:end w:w="55" w:type="dxa"/>
            </w:tcMar>
            <w:vAlign w:val="center"/>
            <w:shd w:fill="44403C"/>
          </w:tcPr>
          <w:p>
            <w:pPr>
              <w:spacing w:after="0"/>
            </w:pPr>
            <w:r>
              <w:rPr>
                <w:rFonts w:ascii="Cambria" w:hAnsi="Cambria"/>
                <w:b/>
                <w:i w:val="0"/>
                <w:color w:val="FFFFFF"/>
                <w:sz w:val="16"/>
              </w:rPr>
              <w:t>Primary Owner</w:t>
            </w:r>
          </w:p>
        </w:tc>
      </w:tr>
      <w:tr>
        <w:trPr>
          <w:cantSplit/>
        </w:trPr>
        <w:tc>
          <w:tcPr>
            <w:tcW w:type="dxa" w:w="1452"/>
            <w:tcMar>
              <w:top w:w="55" w:type="dxa"/>
              <w:start w:w="55" w:type="dxa"/>
              <w:bottom w:w="55" w:type="dxa"/>
              <w:end w:w="55" w:type="dxa"/>
            </w:tcMar>
            <w:vAlign w:val="center"/>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tcPr>
          <w:p>
            <w:pPr>
              <w:spacing w:after="0"/>
            </w:pPr>
            <w:r>
              <w:rPr>
                <w:rFonts w:ascii="Cambria" w:hAnsi="Cambria"/>
                <w:b w:val="0"/>
                <w:i w:val="0"/>
                <w:color w:val="262626"/>
                <w:sz w:val="16"/>
              </w:rPr>
            </w:r>
          </w:p>
        </w:tc>
      </w:tr>
      <w:tr>
        <w:trPr>
          <w:cantSplit/>
        </w:trPr>
        <w:tc>
          <w:tcPr>
            <w:tcW w:type="dxa" w:w="1452"/>
            <w:tcMar>
              <w:top w:w="55" w:type="dxa"/>
              <w:start w:w="55" w:type="dxa"/>
              <w:bottom w:w="55" w:type="dxa"/>
              <w:end w:w="55" w:type="dxa"/>
            </w:tcMar>
            <w:vAlign w:val="center"/>
            <w:shd w:fill="F6F4F0"/>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shd w:fill="F6F4F0"/>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shd w:fill="F6F4F0"/>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shd w:fill="F6F4F0"/>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shd w:fill="F6F4F0"/>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shd w:fill="F6F4F0"/>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shd w:fill="F6F4F0"/>
          </w:tcPr>
          <w:p>
            <w:pPr>
              <w:spacing w:after="0"/>
            </w:pPr>
            <w:r>
              <w:rPr>
                <w:rFonts w:ascii="Cambria" w:hAnsi="Cambria"/>
                <w:b w:val="0"/>
                <w:i w:val="0"/>
                <w:color w:val="262626"/>
                <w:sz w:val="16"/>
              </w:rPr>
            </w:r>
          </w:p>
        </w:tc>
      </w:tr>
      <w:tr>
        <w:trPr>
          <w:cantSplit/>
        </w:trPr>
        <w:tc>
          <w:tcPr>
            <w:tcW w:type="dxa" w:w="1452"/>
            <w:tcMar>
              <w:top w:w="55" w:type="dxa"/>
              <w:start w:w="55" w:type="dxa"/>
              <w:bottom w:w="55" w:type="dxa"/>
              <w:end w:w="55" w:type="dxa"/>
            </w:tcMar>
            <w:vAlign w:val="center"/>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tcPr>
          <w:p>
            <w:pPr>
              <w:spacing w:after="0"/>
            </w:pPr>
            <w:r>
              <w:rPr>
                <w:rFonts w:ascii="Cambria" w:hAnsi="Cambria"/>
                <w:b w:val="0"/>
                <w:i w:val="0"/>
                <w:color w:val="262626"/>
                <w:sz w:val="16"/>
              </w:rPr>
            </w:r>
          </w:p>
        </w:tc>
      </w:tr>
      <w:tr>
        <w:trPr>
          <w:cantSplit/>
        </w:trPr>
        <w:tc>
          <w:tcPr>
            <w:tcW w:type="dxa" w:w="1452"/>
            <w:tcMar>
              <w:top w:w="55" w:type="dxa"/>
              <w:start w:w="55" w:type="dxa"/>
              <w:bottom w:w="55" w:type="dxa"/>
              <w:end w:w="55" w:type="dxa"/>
            </w:tcMar>
            <w:vAlign w:val="center"/>
            <w:shd w:fill="F6F4F0"/>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shd w:fill="F6F4F0"/>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shd w:fill="F6F4F0"/>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shd w:fill="F6F4F0"/>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shd w:fill="F6F4F0"/>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shd w:fill="F6F4F0"/>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shd w:fill="F6F4F0"/>
          </w:tcPr>
          <w:p>
            <w:pPr>
              <w:spacing w:after="0"/>
            </w:pPr>
            <w:r>
              <w:rPr>
                <w:rFonts w:ascii="Cambria" w:hAnsi="Cambria"/>
                <w:b w:val="0"/>
                <w:i w:val="0"/>
                <w:color w:val="262626"/>
                <w:sz w:val="16"/>
              </w:rPr>
            </w:r>
          </w:p>
        </w:tc>
      </w:tr>
      <w:tr>
        <w:trPr>
          <w:cantSplit/>
        </w:trPr>
        <w:tc>
          <w:tcPr>
            <w:tcW w:type="dxa" w:w="1452"/>
            <w:tcMar>
              <w:top w:w="55" w:type="dxa"/>
              <w:start w:w="55" w:type="dxa"/>
              <w:bottom w:w="55" w:type="dxa"/>
              <w:end w:w="55" w:type="dxa"/>
            </w:tcMar>
            <w:vAlign w:val="center"/>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tcPr>
          <w:p>
            <w:pPr>
              <w:spacing w:after="0"/>
            </w:pPr>
            <w:r>
              <w:rPr>
                <w:rFonts w:ascii="Cambria" w:hAnsi="Cambria"/>
                <w:b w:val="0"/>
                <w:i w:val="0"/>
                <w:color w:val="262626"/>
                <w:sz w:val="16"/>
              </w:rPr>
            </w:r>
          </w:p>
        </w:tc>
        <w:tc>
          <w:tcPr>
            <w:tcW w:type="dxa" w:w="1452"/>
            <w:tcMar>
              <w:top w:w="55" w:type="dxa"/>
              <w:start w:w="55" w:type="dxa"/>
              <w:bottom w:w="55" w:type="dxa"/>
              <w:end w:w="55" w:type="dxa"/>
            </w:tcMar>
            <w:vAlign w:val="center"/>
          </w:tcPr>
          <w:p>
            <w:pPr>
              <w:spacing w:after="0"/>
            </w:pPr>
            <w:r>
              <w:rPr>
                <w:rFonts w:ascii="Cambria" w:hAnsi="Cambria"/>
                <w:b w:val="0"/>
                <w:i w:val="0"/>
                <w:color w:val="262626"/>
                <w:sz w:val="16"/>
              </w:rPr>
            </w:r>
          </w:p>
        </w:tc>
      </w:tr>
    </w:tbl>
    <w:p>
      <w:pPr>
        <w:pStyle w:val="Heading2"/>
      </w:pPr>
      <w:r>
        <w:rPr>
          <w:rFonts w:ascii="Cambria" w:hAnsi="Cambria"/>
          <w:b/>
          <w:i w:val="0"/>
          <w:color w:val="262626"/>
          <w:sz w:val="25"/>
        </w:rPr>
        <w:t>Risk Detail Sheet</w:t>
      </w:r>
    </w:p>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Risk ID</w:t>
            </w:r>
          </w:p>
        </w:tc>
        <w:tc>
          <w:tcPr>
            <w:tcW w:type="dxa" w:w="5083"/>
            <w:tcMar>
              <w:top w:w="40" w:type="dxa"/>
              <w:start w:w="60" w:type="dxa"/>
              <w:bottom w:w="40" w:type="dxa"/>
              <w:end w:w="60" w:type="dxa"/>
            </w:tcMar>
            <w:shd w:fill="F5F3EF"/>
          </w:tcPr>
          <w:p>
            <w:r>
              <w:rPr>
                <w:rFonts w:ascii="Cambria" w:hAnsi="Cambria"/>
                <w:b w:val="0"/>
                <w:i w:val="0"/>
                <w:color w:val="6B6459"/>
                <w:sz w:val="19"/>
              </w:rPr>
              <w:t>[complete during assessment]</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System / workload</w:t>
            </w:r>
          </w:p>
        </w:tc>
        <w:tc>
          <w:tcPr>
            <w:tcW w:type="dxa" w:w="5083"/>
            <w:tcMar>
              <w:top w:w="40" w:type="dxa"/>
              <w:start w:w="60" w:type="dxa"/>
              <w:bottom w:w="40" w:type="dxa"/>
              <w:end w:w="60" w:type="dxa"/>
            </w:tcMar>
            <w:shd w:fill="F5F3EF"/>
          </w:tcPr>
          <w:p>
            <w:r>
              <w:rPr>
                <w:rFonts w:ascii="Cambria" w:hAnsi="Cambria"/>
                <w:b w:val="0"/>
                <w:i w:val="0"/>
                <w:color w:val="6B6459"/>
                <w:sz w:val="19"/>
              </w:rPr>
              <w:t>[complete during assessment]</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Business owner</w:t>
            </w:r>
          </w:p>
        </w:tc>
        <w:tc>
          <w:tcPr>
            <w:tcW w:type="dxa" w:w="5083"/>
            <w:tcMar>
              <w:top w:w="40" w:type="dxa"/>
              <w:start w:w="60" w:type="dxa"/>
              <w:bottom w:w="40" w:type="dxa"/>
              <w:end w:w="60" w:type="dxa"/>
            </w:tcMar>
            <w:shd w:fill="F5F3EF"/>
          </w:tcPr>
          <w:p>
            <w:r>
              <w:rPr>
                <w:rFonts w:ascii="Cambria" w:hAnsi="Cambria"/>
                <w:b w:val="0"/>
                <w:i w:val="0"/>
                <w:color w:val="6B6459"/>
                <w:sz w:val="19"/>
              </w:rPr>
              <w:t>[complete during assessment]</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Technical owner</w:t>
            </w:r>
          </w:p>
        </w:tc>
        <w:tc>
          <w:tcPr>
            <w:tcW w:type="dxa" w:w="5083"/>
            <w:tcMar>
              <w:top w:w="40" w:type="dxa"/>
              <w:start w:w="60" w:type="dxa"/>
              <w:bottom w:w="40" w:type="dxa"/>
              <w:end w:w="60" w:type="dxa"/>
            </w:tcMar>
            <w:shd w:fill="F5F3EF"/>
          </w:tcPr>
          <w:p>
            <w:r>
              <w:rPr>
                <w:rFonts w:ascii="Cambria" w:hAnsi="Cambria"/>
                <w:b w:val="0"/>
                <w:i w:val="0"/>
                <w:color w:val="6B6459"/>
                <w:sz w:val="19"/>
              </w:rPr>
              <w:t>[complete during assessment]</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Security owner</w:t>
            </w:r>
          </w:p>
        </w:tc>
        <w:tc>
          <w:tcPr>
            <w:tcW w:type="dxa" w:w="5083"/>
            <w:tcMar>
              <w:top w:w="40" w:type="dxa"/>
              <w:start w:w="60" w:type="dxa"/>
              <w:bottom w:w="40" w:type="dxa"/>
              <w:end w:w="60" w:type="dxa"/>
            </w:tcMar>
            <w:shd w:fill="F5F3EF"/>
          </w:tcPr>
          <w:p>
            <w:r>
              <w:rPr>
                <w:rFonts w:ascii="Cambria" w:hAnsi="Cambria"/>
                <w:b w:val="0"/>
                <w:i w:val="0"/>
                <w:color w:val="6B6459"/>
                <w:sz w:val="19"/>
              </w:rPr>
              <w:t>[complete during assessment]</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Reason for exception</w:t>
            </w:r>
          </w:p>
        </w:tc>
        <w:tc>
          <w:tcPr>
            <w:tcW w:type="dxa" w:w="5083"/>
            <w:tcMar>
              <w:top w:w="40" w:type="dxa"/>
              <w:start w:w="60" w:type="dxa"/>
              <w:bottom w:w="40" w:type="dxa"/>
              <w:end w:w="60" w:type="dxa"/>
            </w:tcMar>
            <w:shd w:fill="F5F3EF"/>
          </w:tcPr>
          <w:p>
            <w:r>
              <w:rPr>
                <w:rFonts w:ascii="Cambria" w:hAnsi="Cambria"/>
                <w:b w:val="0"/>
                <w:i w:val="0"/>
                <w:color w:val="6B6459"/>
                <w:sz w:val="19"/>
              </w:rPr>
              <w:t>[complete during assessment]</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Compensating control</w:t>
            </w:r>
          </w:p>
        </w:tc>
        <w:tc>
          <w:tcPr>
            <w:tcW w:type="dxa" w:w="5083"/>
            <w:tcMar>
              <w:top w:w="40" w:type="dxa"/>
              <w:start w:w="60" w:type="dxa"/>
              <w:bottom w:w="40" w:type="dxa"/>
              <w:end w:w="60" w:type="dxa"/>
            </w:tcMar>
            <w:shd w:fill="F5F3EF"/>
          </w:tcPr>
          <w:p>
            <w:r>
              <w:rPr>
                <w:rFonts w:ascii="Cambria" w:hAnsi="Cambria"/>
                <w:b w:val="0"/>
                <w:i w:val="0"/>
                <w:color w:val="6B6459"/>
                <w:sz w:val="19"/>
              </w:rPr>
              <w:t>[complete during assessment]</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Monitoring method</w:t>
            </w:r>
          </w:p>
        </w:tc>
        <w:tc>
          <w:tcPr>
            <w:tcW w:type="dxa" w:w="5083"/>
            <w:tcMar>
              <w:top w:w="40" w:type="dxa"/>
              <w:start w:w="60" w:type="dxa"/>
              <w:bottom w:w="40" w:type="dxa"/>
              <w:end w:w="60" w:type="dxa"/>
            </w:tcMar>
            <w:shd w:fill="F5F3EF"/>
          </w:tcPr>
          <w:p>
            <w:r>
              <w:rPr>
                <w:rFonts w:ascii="Cambria" w:hAnsi="Cambria"/>
                <w:b w:val="0"/>
                <w:i w:val="0"/>
                <w:color w:val="6B6459"/>
                <w:sz w:val="19"/>
              </w:rPr>
              <w:t>[complete during assessment]</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Expiration / review date</w:t>
            </w:r>
          </w:p>
        </w:tc>
        <w:tc>
          <w:tcPr>
            <w:tcW w:type="dxa" w:w="5083"/>
            <w:tcMar>
              <w:top w:w="40" w:type="dxa"/>
              <w:start w:w="60" w:type="dxa"/>
              <w:bottom w:w="40" w:type="dxa"/>
              <w:end w:w="60" w:type="dxa"/>
            </w:tcMar>
            <w:shd w:fill="F5F3EF"/>
          </w:tcPr>
          <w:p>
            <w:r>
              <w:rPr>
                <w:rFonts w:ascii="Cambria" w:hAnsi="Cambria"/>
                <w:b w:val="0"/>
                <w:i w:val="0"/>
                <w:color w:val="6B6459"/>
                <w:sz w:val="19"/>
              </w:rPr>
              <w:t>[complete during assessment]</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Retirement condition</w:t>
            </w:r>
          </w:p>
        </w:tc>
        <w:tc>
          <w:tcPr>
            <w:tcW w:type="dxa" w:w="5083"/>
            <w:tcMar>
              <w:top w:w="40" w:type="dxa"/>
              <w:start w:w="60" w:type="dxa"/>
              <w:bottom w:w="40" w:type="dxa"/>
              <w:end w:w="60" w:type="dxa"/>
            </w:tcMar>
            <w:shd w:fill="F5F3EF"/>
          </w:tcPr>
          <w:p>
            <w:r>
              <w:rPr>
                <w:rFonts w:ascii="Cambria" w:hAnsi="Cambria"/>
                <w:b w:val="0"/>
                <w:i w:val="0"/>
                <w:color w:val="6B6459"/>
                <w:sz w:val="19"/>
              </w:rPr>
              <w:t>[complete during assessment]</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Evidence link</w:t>
            </w:r>
          </w:p>
        </w:tc>
        <w:tc>
          <w:tcPr>
            <w:tcW w:type="dxa" w:w="5083"/>
            <w:tcMar>
              <w:top w:w="40" w:type="dxa"/>
              <w:start w:w="60" w:type="dxa"/>
              <w:bottom w:w="40" w:type="dxa"/>
              <w:end w:w="60" w:type="dxa"/>
            </w:tcMar>
            <w:shd w:fill="F5F3EF"/>
          </w:tcPr>
          <w:p>
            <w:r>
              <w:rPr>
                <w:rFonts w:ascii="Cambria" w:hAnsi="Cambria"/>
                <w:b w:val="0"/>
                <w:i w:val="0"/>
                <w:color w:val="6B6459"/>
                <w:sz w:val="19"/>
              </w:rPr>
              <w:t>[complete during assessment]</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Review notes</w:t>
            </w:r>
          </w:p>
        </w:tc>
        <w:tc>
          <w:tcPr>
            <w:tcW w:type="dxa" w:w="5083"/>
            <w:tcMar>
              <w:top w:w="40" w:type="dxa"/>
              <w:start w:w="60" w:type="dxa"/>
              <w:bottom w:w="40" w:type="dxa"/>
              <w:end w:w="60" w:type="dxa"/>
            </w:tcMar>
            <w:shd w:fill="F5F3EF"/>
          </w:tcPr>
          <w:p>
            <w:r>
              <w:rPr>
                <w:rFonts w:ascii="Cambria" w:hAnsi="Cambria"/>
                <w:b w:val="0"/>
                <w:i w:val="0"/>
                <w:color w:val="6B6459"/>
                <w:sz w:val="19"/>
              </w:rPr>
              <w:t>[complete during assessment]</w:t>
            </w:r>
          </w:p>
        </w:tc>
      </w:tr>
    </w:tbl>
    <w:p>
      <w:pPr>
        <w:pStyle w:val="Heading2"/>
      </w:pPr>
      <w:r>
        <w:rPr>
          <w:rFonts w:ascii="Cambria" w:hAnsi="Cambria"/>
          <w:b/>
          <w:i w:val="0"/>
          <w:color w:val="262626"/>
          <w:sz w:val="25"/>
        </w:rPr>
        <w:t>Hypothetical Example</w:t>
      </w:r>
    </w:p>
    <w:tbl>
      <w:tblPr>
        <w:tblW w:type="auto" w:w="0"/>
        <w:jc w:val="center"/>
        <w:tblLayout w:type="autofit"/>
        <w:tblLook w:firstColumn="1" w:firstRow="1" w:lastColumn="0" w:lastRow="0" w:noHBand="0" w:noVBand="1" w:val="04A0"/>
      </w:tblPr>
      <w:tblGrid>
        <w:gridCol w:w="1694"/>
        <w:gridCol w:w="1694"/>
        <w:gridCol w:w="1694"/>
        <w:gridCol w:w="1694"/>
        <w:gridCol w:w="1694"/>
        <w:gridCol w:w="1694"/>
      </w:tblGrid>
      <w:tr>
        <w:trPr>
          <w:cantSplit/>
          <w:tblHeader w:val="true"/>
        </w:trPr>
        <w:tc>
          <w:tcPr>
            <w:tcW w:type="dxa" w:w="1694"/>
            <w:tcMar>
              <w:top w:w="55" w:type="dxa"/>
              <w:start w:w="55" w:type="dxa"/>
              <w:bottom w:w="55" w:type="dxa"/>
              <w:end w:w="55" w:type="dxa"/>
            </w:tcMar>
            <w:vAlign w:val="center"/>
            <w:shd w:fill="44403C"/>
          </w:tcPr>
          <w:p>
            <w:pPr>
              <w:spacing w:after="0"/>
            </w:pPr>
            <w:r>
              <w:rPr>
                <w:rFonts w:ascii="Cambria" w:hAnsi="Cambria"/>
                <w:b/>
                <w:i w:val="0"/>
                <w:color w:val="FFFFFF"/>
                <w:sz w:val="15"/>
              </w:rPr>
              <w:t>Risk ID</w:t>
            </w:r>
          </w:p>
        </w:tc>
        <w:tc>
          <w:tcPr>
            <w:tcW w:type="dxa" w:w="1694"/>
            <w:tcMar>
              <w:top w:w="55" w:type="dxa"/>
              <w:start w:w="55" w:type="dxa"/>
              <w:bottom w:w="55" w:type="dxa"/>
              <w:end w:w="55" w:type="dxa"/>
            </w:tcMar>
            <w:vAlign w:val="center"/>
            <w:shd w:fill="44403C"/>
          </w:tcPr>
          <w:p>
            <w:pPr>
              <w:spacing w:after="0"/>
            </w:pPr>
            <w:r>
              <w:rPr>
                <w:rFonts w:ascii="Cambria" w:hAnsi="Cambria"/>
                <w:b/>
                <w:i w:val="0"/>
                <w:color w:val="FFFFFF"/>
                <w:sz w:val="15"/>
              </w:rPr>
              <w:t>System</w:t>
            </w:r>
          </w:p>
        </w:tc>
        <w:tc>
          <w:tcPr>
            <w:tcW w:type="dxa" w:w="1694"/>
            <w:tcMar>
              <w:top w:w="55" w:type="dxa"/>
              <w:start w:w="55" w:type="dxa"/>
              <w:bottom w:w="55" w:type="dxa"/>
              <w:end w:w="55" w:type="dxa"/>
            </w:tcMar>
            <w:vAlign w:val="center"/>
            <w:shd w:fill="44403C"/>
          </w:tcPr>
          <w:p>
            <w:pPr>
              <w:spacing w:after="0"/>
            </w:pPr>
            <w:r>
              <w:rPr>
                <w:rFonts w:ascii="Cambria" w:hAnsi="Cambria"/>
                <w:b/>
                <w:i w:val="0"/>
                <w:color w:val="FFFFFF"/>
                <w:sz w:val="15"/>
              </w:rPr>
              <w:t>Temporary Exception</w:t>
            </w:r>
          </w:p>
        </w:tc>
        <w:tc>
          <w:tcPr>
            <w:tcW w:type="dxa" w:w="1694"/>
            <w:tcMar>
              <w:top w:w="55" w:type="dxa"/>
              <w:start w:w="55" w:type="dxa"/>
              <w:bottom w:w="55" w:type="dxa"/>
              <w:end w:w="55" w:type="dxa"/>
            </w:tcMar>
            <w:vAlign w:val="center"/>
            <w:shd w:fill="44403C"/>
          </w:tcPr>
          <w:p>
            <w:pPr>
              <w:spacing w:after="0"/>
            </w:pPr>
            <w:r>
              <w:rPr>
                <w:rFonts w:ascii="Cambria" w:hAnsi="Cambria"/>
                <w:b/>
                <w:i w:val="0"/>
                <w:color w:val="FFFFFF"/>
                <w:sz w:val="15"/>
              </w:rPr>
              <w:t>Compensating Control</w:t>
            </w:r>
          </w:p>
        </w:tc>
        <w:tc>
          <w:tcPr>
            <w:tcW w:type="dxa" w:w="1694"/>
            <w:tcMar>
              <w:top w:w="55" w:type="dxa"/>
              <w:start w:w="55" w:type="dxa"/>
              <w:bottom w:w="55" w:type="dxa"/>
              <w:end w:w="55" w:type="dxa"/>
            </w:tcMar>
            <w:vAlign w:val="center"/>
            <w:shd w:fill="44403C"/>
          </w:tcPr>
          <w:p>
            <w:pPr>
              <w:spacing w:after="0"/>
            </w:pPr>
            <w:r>
              <w:rPr>
                <w:rFonts w:ascii="Cambria" w:hAnsi="Cambria"/>
                <w:b/>
                <w:i w:val="0"/>
                <w:color w:val="FFFFFF"/>
                <w:sz w:val="15"/>
              </w:rPr>
              <w:t>Expiry</w:t>
            </w:r>
          </w:p>
        </w:tc>
        <w:tc>
          <w:tcPr>
            <w:tcW w:type="dxa" w:w="1694"/>
            <w:tcMar>
              <w:top w:w="55" w:type="dxa"/>
              <w:start w:w="55" w:type="dxa"/>
              <w:bottom w:w="55" w:type="dxa"/>
              <w:end w:w="55" w:type="dxa"/>
            </w:tcMar>
            <w:vAlign w:val="center"/>
            <w:shd w:fill="44403C"/>
          </w:tcPr>
          <w:p>
            <w:pPr>
              <w:spacing w:after="0"/>
            </w:pPr>
            <w:r>
              <w:rPr>
                <w:rFonts w:ascii="Cambria" w:hAnsi="Cambria"/>
                <w:b/>
                <w:i w:val="0"/>
                <w:color w:val="FFFFFF"/>
                <w:sz w:val="15"/>
              </w:rPr>
              <w:t>Retirement Condition</w:t>
            </w:r>
          </w:p>
        </w:tc>
      </w:tr>
      <w:tr>
        <w:trPr>
          <w:cantSplit/>
        </w:trPr>
        <w:tc>
          <w:tcPr>
            <w:tcW w:type="dxa" w:w="1694"/>
            <w:tcMar>
              <w:top w:w="55" w:type="dxa"/>
              <w:start w:w="55" w:type="dxa"/>
              <w:bottom w:w="55" w:type="dxa"/>
              <w:end w:w="55" w:type="dxa"/>
            </w:tcMar>
            <w:vAlign w:val="center"/>
          </w:tcPr>
          <w:p>
            <w:pPr>
              <w:spacing w:after="0"/>
            </w:pPr>
            <w:r>
              <w:rPr>
                <w:rFonts w:ascii="Cambria" w:hAnsi="Cambria"/>
                <w:b w:val="0"/>
                <w:i w:val="0"/>
                <w:color w:val="262626"/>
                <w:sz w:val="15"/>
              </w:rPr>
              <w:t>TSR-001</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t>Legacy HR portal</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t>Local password authentication retained</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t>MFA at VPN plus daily login review</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t>2026-10-31</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t>Retire local authentication after SSO upgrade</w:t>
            </w:r>
          </w:p>
        </w:tc>
      </w:tr>
      <w:tr>
        <w:trPr>
          <w:cantSplit/>
        </w:trPr>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t>TSR-002</w:t>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t>Payment reporting DB</w:t>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t>Broad temporary subnet allow rule</w:t>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t>Source-IP restriction plus database audit logging</w:t>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t>2026-09-30</w:t>
            </w:r>
          </w:p>
        </w:tc>
        <w:tc>
          <w:tcPr>
            <w:tcW w:type="dxa" w:w="1694"/>
            <w:tcMar>
              <w:top w:w="55" w:type="dxa"/>
              <w:start w:w="55" w:type="dxa"/>
              <w:bottom w:w="55" w:type="dxa"/>
              <w:end w:w="55" w:type="dxa"/>
            </w:tcMar>
            <w:vAlign w:val="center"/>
            <w:shd w:fill="F6F4F0"/>
          </w:tcPr>
          <w:p>
            <w:pPr>
              <w:spacing w:after="0"/>
            </w:pPr>
            <w:r>
              <w:rPr>
                <w:rFonts w:ascii="Cambria" w:hAnsi="Cambria"/>
                <w:b w:val="0"/>
                <w:i w:val="0"/>
                <w:color w:val="262626"/>
                <w:sz w:val="15"/>
              </w:rPr>
              <w:t>Replace broad rule after dependency discovery</w:t>
            </w:r>
          </w:p>
        </w:tc>
      </w:tr>
      <w:tr>
        <w:trPr>
          <w:cantSplit/>
        </w:trPr>
        <w:tc>
          <w:tcPr>
            <w:tcW w:type="dxa" w:w="1694"/>
            <w:tcMar>
              <w:top w:w="55" w:type="dxa"/>
              <w:start w:w="55" w:type="dxa"/>
              <w:bottom w:w="55" w:type="dxa"/>
              <w:end w:w="55" w:type="dxa"/>
            </w:tcMar>
            <w:vAlign w:val="center"/>
          </w:tcPr>
          <w:p>
            <w:pPr>
              <w:spacing w:after="0"/>
            </w:pPr>
            <w:r>
              <w:rPr>
                <w:rFonts w:ascii="Cambria" w:hAnsi="Cambria"/>
                <w:b w:val="0"/>
                <w:i w:val="0"/>
                <w:color w:val="262626"/>
                <w:sz w:val="15"/>
              </w:rPr>
              <w:t>TSR-003</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t>Backup management</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t>Privileged local service account</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t>Credential vault and seven-day rotation</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t>2026-11-15</w:t>
            </w:r>
          </w:p>
        </w:tc>
        <w:tc>
          <w:tcPr>
            <w:tcW w:type="dxa" w:w="1694"/>
            <w:tcMar>
              <w:top w:w="55" w:type="dxa"/>
              <w:start w:w="55" w:type="dxa"/>
              <w:bottom w:w="55" w:type="dxa"/>
              <w:end w:w="55" w:type="dxa"/>
            </w:tcMar>
            <w:vAlign w:val="center"/>
          </w:tcPr>
          <w:p>
            <w:pPr>
              <w:spacing w:after="0"/>
            </w:pPr>
            <w:r>
              <w:rPr>
                <w:rFonts w:ascii="Cambria" w:hAnsi="Cambria"/>
                <w:b w:val="0"/>
                <w:i w:val="0"/>
                <w:color w:val="262626"/>
                <w:sz w:val="15"/>
              </w:rPr>
              <w:t>Move service account into PAM-managed workflow</w:t>
            </w:r>
          </w:p>
        </w:tc>
      </w:tr>
    </w:tbl>
    <w:p>
      <w:pPr>
        <w:spacing w:before="200" w:after="20"/>
        <w:ind w:left="220"/>
      </w:pPr>
      <w:r>
        <w:rPr>
          <w:rFonts w:ascii="Cambria" w:hAnsi="Cambria"/>
          <w:b/>
          <w:i w:val="0"/>
          <w:color w:val="262626"/>
          <w:sz w:val="21"/>
        </w:rPr>
        <w:t>Operational rule.</w:t>
      </w:r>
    </w:p>
    <w:p>
      <w:pPr>
        <w:spacing w:before="20" w:after="140"/>
        <w:ind w:left="220"/>
      </w:pPr>
      <w:r>
        <w:rPr>
          <w:rFonts w:ascii="Cambria" w:hAnsi="Cambria"/>
          <w:b w:val="0"/>
          <w:i/>
          <w:color w:val="262626"/>
          <w:sz w:val="19"/>
        </w:rPr>
        <w:t>A temporary exception without a named owner, monitoring method, and retirement condition should be treated as unmanaged transition risk.</w:t>
      </w:r>
    </w:p>
    <w:p>
      <w:pPr>
        <w:pStyle w:val="Heading1"/>
      </w:pPr>
      <w:r>
        <w:t>6. Data Sensitivity &amp; Migration Sequencing Worksheet</w:t>
      </w:r>
    </w:p>
    <w:p>
      <w:pPr>
        <w:spacing w:after="160"/>
      </w:pPr>
      <w:r>
        <w:rPr>
          <w:rFonts w:ascii="Cambria" w:hAnsi="Cambria"/>
          <w:b w:val="0"/>
          <w:i w:val="0"/>
          <w:color w:val="262626"/>
          <w:sz w:val="21"/>
        </w:rPr>
        <w:t>A lightweight decision aid that connects approved data sensitivity and operational readiness to migration-wave sequencing.</w:t>
      </w:r>
    </w:p>
    <w:p>
      <w:pPr>
        <w:spacing w:before="200" w:after="20"/>
        <w:ind w:left="220"/>
      </w:pPr>
      <w:r>
        <w:rPr>
          <w:rFonts w:ascii="Cambria" w:hAnsi="Cambria"/>
          <w:b/>
          <w:i w:val="0"/>
          <w:color w:val="262626"/>
          <w:sz w:val="21"/>
        </w:rPr>
        <w:t>How this template complements SP 1800-35.</w:t>
      </w:r>
    </w:p>
    <w:p>
      <w:pPr>
        <w:spacing w:before="20" w:after="140"/>
        <w:ind w:left="220"/>
      </w:pPr>
      <w:r>
        <w:rPr>
          <w:rFonts w:ascii="Cambria" w:hAnsi="Cambria"/>
          <w:b w:val="0"/>
          <w:i/>
          <w:color w:val="262626"/>
          <w:sz w:val="19"/>
        </w:rPr>
        <w:t>The worksheet deliberately does not classify data. It assumes the organization uses its existing approved classification and adds migration-oriented questions around ownership, identity, logging, backup/DR, dependencies, rollback, and retirement.  Alignment: SP 1800-35 Section 1.2 (data-classification risk/policy requirements are out of scope) and Section 8.</w:t>
      </w:r>
    </w:p>
    <w:p>
      <w:pPr>
        <w:spacing w:before="200" w:after="20"/>
        <w:ind w:left="220"/>
      </w:pPr>
      <w:r>
        <w:rPr>
          <w:rFonts w:ascii="Cambria" w:hAnsi="Cambria"/>
          <w:b/>
          <w:i w:val="0"/>
          <w:color w:val="262626"/>
          <w:sz w:val="21"/>
        </w:rPr>
        <w:t>Not a data-classification replacement.</w:t>
      </w:r>
    </w:p>
    <w:p>
      <w:pPr>
        <w:spacing w:before="20" w:after="140"/>
        <w:ind w:left="220"/>
      </w:pPr>
      <w:r>
        <w:rPr>
          <w:rFonts w:ascii="Cambria" w:hAnsi="Cambria"/>
          <w:b w:val="0"/>
          <w:i/>
          <w:color w:val="262626"/>
          <w:sz w:val="19"/>
        </w:rPr>
        <w:t>Use enterprise-approved data classification, privacy, records-management, legal, and regulatory processes. This worksheet only helps decide how those inputs affect migration sequencing.</w:t>
      </w:r>
    </w:p>
    <w:p>
      <w:pPr>
        <w:pStyle w:val="Heading2"/>
      </w:pPr>
      <w:r>
        <w:rPr>
          <w:rFonts w:ascii="Cambria" w:hAnsi="Cambria"/>
          <w:b/>
          <w:i w:val="0"/>
          <w:color w:val="262626"/>
          <w:sz w:val="25"/>
        </w:rPr>
        <w:t>Practical Transition Questions</w:t>
      </w:r>
    </w:p>
    <w:tbl>
      <w:tblPr>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5"/>
              </w:rPr>
              <w:t>Area</w:t>
            </w:r>
          </w:p>
        </w:tc>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5"/>
              </w:rPr>
              <w:t>Question</w:t>
            </w:r>
          </w:p>
        </w:tc>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5"/>
              </w:rPr>
              <w:t>Why it matters</w:t>
            </w:r>
          </w:p>
        </w:tc>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5"/>
              </w:rPr>
              <w:t>Evidence example</w:t>
            </w:r>
          </w:p>
        </w:tc>
      </w:tr>
      <w:tr>
        <w:trPr>
          <w:cantSplit/>
        </w:trPr>
        <w:tc>
          <w:tcPr>
            <w:tcW w:type="dxa" w:w="2541"/>
            <w:tcMar>
              <w:top w:w="55" w:type="dxa"/>
              <w:start w:w="55" w:type="dxa"/>
              <w:bottom w:w="55" w:type="dxa"/>
              <w:end w:w="55" w:type="dxa"/>
            </w:tcMar>
            <w:vAlign w:val="center"/>
          </w:tcPr>
          <w:p>
            <w:pPr>
              <w:spacing w:after="0"/>
            </w:pPr>
            <w:r>
              <w:rPr>
                <w:rFonts w:ascii="Cambria" w:hAnsi="Cambria"/>
                <w:b/>
                <w:i w:val="0"/>
                <w:color w:val="262626"/>
                <w:sz w:val="15"/>
              </w:rPr>
              <w:t>Data owner</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Who can approve movement of this data/workload?</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Prevents technical teams from making business-risk decisions alone.</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Named owner / approval ticket</w:t>
            </w:r>
          </w:p>
        </w:tc>
      </w:tr>
      <w:tr>
        <w:trPr>
          <w:cantSplit/>
        </w:trPr>
        <w:tc>
          <w:tcPr>
            <w:tcW w:type="dxa" w:w="2541"/>
            <w:tcMar>
              <w:top w:w="55" w:type="dxa"/>
              <w:start w:w="55" w:type="dxa"/>
              <w:bottom w:w="55" w:type="dxa"/>
              <w:end w:w="55" w:type="dxa"/>
            </w:tcMar>
            <w:vAlign w:val="center"/>
            <w:shd w:fill="F6F4F0"/>
          </w:tcPr>
          <w:p>
            <w:pPr>
              <w:spacing w:after="0"/>
            </w:pPr>
            <w:r>
              <w:rPr>
                <w:rFonts w:ascii="Cambria" w:hAnsi="Cambria"/>
                <w:b/>
                <w:i w:val="0"/>
                <w:color w:val="262626"/>
                <w:sz w:val="15"/>
              </w:rPr>
              <w:t>Sensitivity</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What is the approved sensitivity level?</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Affects sequencing, logging, encryption, and test evidence.</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Classification label</w:t>
            </w:r>
          </w:p>
        </w:tc>
      </w:tr>
      <w:tr>
        <w:trPr>
          <w:cantSplit/>
        </w:trPr>
        <w:tc>
          <w:tcPr>
            <w:tcW w:type="dxa" w:w="2541"/>
            <w:tcMar>
              <w:top w:w="55" w:type="dxa"/>
              <w:start w:w="55" w:type="dxa"/>
              <w:bottom w:w="55" w:type="dxa"/>
              <w:end w:w="55" w:type="dxa"/>
            </w:tcMar>
            <w:vAlign w:val="center"/>
          </w:tcPr>
          <w:p>
            <w:pPr>
              <w:spacing w:after="0"/>
            </w:pPr>
            <w:r>
              <w:rPr>
                <w:rFonts w:ascii="Cambria" w:hAnsi="Cambria"/>
                <w:b/>
                <w:i w:val="0"/>
                <w:color w:val="262626"/>
                <w:sz w:val="15"/>
              </w:rPr>
              <w:t>Identity</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Can the workload use enterprise identity/MFA now?</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Legacy authentication may require a temporary exception.</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SSO/MFA test</w:t>
            </w:r>
          </w:p>
        </w:tc>
      </w:tr>
      <w:tr>
        <w:trPr>
          <w:cantSplit/>
        </w:trPr>
        <w:tc>
          <w:tcPr>
            <w:tcW w:type="dxa" w:w="2541"/>
            <w:tcMar>
              <w:top w:w="55" w:type="dxa"/>
              <w:start w:w="55" w:type="dxa"/>
              <w:bottom w:w="55" w:type="dxa"/>
              <w:end w:w="55" w:type="dxa"/>
            </w:tcMar>
            <w:vAlign w:val="center"/>
            <w:shd w:fill="F6F4F0"/>
          </w:tcPr>
          <w:p>
            <w:pPr>
              <w:spacing w:after="0"/>
            </w:pPr>
            <w:r>
              <w:rPr>
                <w:rFonts w:ascii="Cambria" w:hAnsi="Cambria"/>
                <w:b/>
                <w:i w:val="0"/>
                <w:color w:val="262626"/>
                <w:sz w:val="15"/>
              </w:rPr>
              <w:t>Logging</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Will security-relevant activity remain visible after migration?</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Reduces blind spots during hybrid operation.</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SIEM source validation</w:t>
            </w:r>
          </w:p>
        </w:tc>
      </w:tr>
      <w:tr>
        <w:trPr>
          <w:cantSplit/>
        </w:trPr>
        <w:tc>
          <w:tcPr>
            <w:tcW w:type="dxa" w:w="2541"/>
            <w:tcMar>
              <w:top w:w="55" w:type="dxa"/>
              <w:start w:w="55" w:type="dxa"/>
              <w:bottom w:w="55" w:type="dxa"/>
              <w:end w:w="55" w:type="dxa"/>
            </w:tcMar>
            <w:vAlign w:val="center"/>
          </w:tcPr>
          <w:p>
            <w:pPr>
              <w:spacing w:after="0"/>
            </w:pPr>
            <w:r>
              <w:rPr>
                <w:rFonts w:ascii="Cambria" w:hAnsi="Cambria"/>
                <w:b/>
                <w:i w:val="0"/>
                <w:color w:val="262626"/>
                <w:sz w:val="15"/>
              </w:rPr>
              <w:t>Backup/DR</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Can the workload be restored and can policy survive failover?</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Recovery without security continuity is incomplete.</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Restore/failover test</w:t>
            </w:r>
          </w:p>
        </w:tc>
      </w:tr>
      <w:tr>
        <w:trPr>
          <w:cantSplit/>
        </w:trPr>
        <w:tc>
          <w:tcPr>
            <w:tcW w:type="dxa" w:w="2541"/>
            <w:tcMar>
              <w:top w:w="55" w:type="dxa"/>
              <w:start w:w="55" w:type="dxa"/>
              <w:bottom w:w="55" w:type="dxa"/>
              <w:end w:w="55" w:type="dxa"/>
            </w:tcMar>
            <w:vAlign w:val="center"/>
            <w:shd w:fill="F6F4F0"/>
          </w:tcPr>
          <w:p>
            <w:pPr>
              <w:spacing w:after="0"/>
            </w:pPr>
            <w:r>
              <w:rPr>
                <w:rFonts w:ascii="Cambria" w:hAnsi="Cambria"/>
                <w:b/>
                <w:i w:val="0"/>
                <w:color w:val="262626"/>
                <w:sz w:val="15"/>
              </w:rPr>
              <w:t>Dependencies</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What upstream/downstream services must remain reachable?</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Unknown dependencies can break segmentation or cutover.</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Dependency map</w:t>
            </w:r>
          </w:p>
        </w:tc>
      </w:tr>
      <w:tr>
        <w:trPr>
          <w:cantSplit/>
        </w:trPr>
        <w:tc>
          <w:tcPr>
            <w:tcW w:type="dxa" w:w="2541"/>
            <w:tcMar>
              <w:top w:w="55" w:type="dxa"/>
              <w:start w:w="55" w:type="dxa"/>
              <w:bottom w:w="55" w:type="dxa"/>
              <w:end w:w="55" w:type="dxa"/>
            </w:tcMar>
            <w:vAlign w:val="center"/>
          </w:tcPr>
          <w:p>
            <w:pPr>
              <w:spacing w:after="0"/>
            </w:pPr>
            <w:r>
              <w:rPr>
                <w:rFonts w:ascii="Cambria" w:hAnsi="Cambria"/>
                <w:b/>
                <w:i w:val="0"/>
                <w:color w:val="262626"/>
                <w:sz w:val="15"/>
              </w:rPr>
              <w:t>Rollback</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Can the team return safely to the prior state?</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Supports controlled migration waves.</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Approved rollback runbook</w:t>
            </w:r>
          </w:p>
        </w:tc>
      </w:tr>
      <w:tr>
        <w:trPr>
          <w:cantSplit/>
        </w:trPr>
        <w:tc>
          <w:tcPr>
            <w:tcW w:type="dxa" w:w="2541"/>
            <w:tcMar>
              <w:top w:w="55" w:type="dxa"/>
              <w:start w:w="55" w:type="dxa"/>
              <w:bottom w:w="55" w:type="dxa"/>
              <w:end w:w="55" w:type="dxa"/>
            </w:tcMar>
            <w:vAlign w:val="center"/>
            <w:shd w:fill="F6F4F0"/>
          </w:tcPr>
          <w:p>
            <w:pPr>
              <w:spacing w:after="0"/>
            </w:pPr>
            <w:r>
              <w:rPr>
                <w:rFonts w:ascii="Cambria" w:hAnsi="Cambria"/>
                <w:b/>
                <w:i w:val="0"/>
                <w:color w:val="262626"/>
                <w:sz w:val="15"/>
              </w:rPr>
              <w:t>Retirement</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What legacy path/control will be removed after success?</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Prevents temporary risk becoming permanent.</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Retirement ticket</w:t>
            </w:r>
          </w:p>
        </w:tc>
      </w:tr>
    </w:tbl>
    <w:p>
      <w:pPr>
        <w:pStyle w:val="Heading2"/>
      </w:pPr>
      <w:r>
        <w:rPr>
          <w:rFonts w:ascii="Cambria" w:hAnsi="Cambria"/>
          <w:b/>
          <w:i w:val="0"/>
          <w:color w:val="262626"/>
          <w:sz w:val="25"/>
        </w:rPr>
        <w:t>Blank Migration Sequencing Worksheet</w:t>
      </w:r>
    </w:p>
    <w:tbl>
      <w:tblPr>
        <w:tblW w:type="auto" w:w="0"/>
        <w:jc w:val="center"/>
        <w:tblLayout w:type="autofit"/>
        <w:tblLook w:firstColumn="1" w:firstRow="1" w:lastColumn="0" w:lastRow="0" w:noHBand="0" w:noVBand="1" w:val="04A0"/>
      </w:tblPr>
      <w:tblGrid>
        <w:gridCol w:w="1130"/>
        <w:gridCol w:w="1130"/>
        <w:gridCol w:w="1130"/>
        <w:gridCol w:w="1130"/>
        <w:gridCol w:w="1130"/>
        <w:gridCol w:w="1130"/>
        <w:gridCol w:w="1130"/>
        <w:gridCol w:w="1130"/>
        <w:gridCol w:w="1130"/>
      </w:tblGrid>
      <w:tr>
        <w:trPr>
          <w:cantSplit/>
          <w:tblHeader w:val="true"/>
        </w:trPr>
        <w:tc>
          <w:tcPr>
            <w:tcW w:type="dxa" w:w="1130"/>
            <w:tcMar>
              <w:top w:w="55" w:type="dxa"/>
              <w:start w:w="55" w:type="dxa"/>
              <w:bottom w:w="55" w:type="dxa"/>
              <w:end w:w="55" w:type="dxa"/>
            </w:tcMar>
            <w:vAlign w:val="center"/>
            <w:shd w:fill="44403C"/>
          </w:tcPr>
          <w:p>
            <w:pPr>
              <w:spacing w:after="0"/>
            </w:pPr>
            <w:r>
              <w:rPr>
                <w:rFonts w:ascii="Cambria" w:hAnsi="Cambria"/>
                <w:b/>
                <w:i w:val="0"/>
                <w:color w:val="FFFFFF"/>
                <w:sz w:val="14"/>
              </w:rPr>
              <w:t>ID</w:t>
            </w:r>
          </w:p>
        </w:tc>
        <w:tc>
          <w:tcPr>
            <w:tcW w:type="dxa" w:w="1130"/>
            <w:tcMar>
              <w:top w:w="55" w:type="dxa"/>
              <w:start w:w="55" w:type="dxa"/>
              <w:bottom w:w="55" w:type="dxa"/>
              <w:end w:w="55" w:type="dxa"/>
            </w:tcMar>
            <w:vAlign w:val="center"/>
            <w:shd w:fill="44403C"/>
          </w:tcPr>
          <w:p>
            <w:pPr>
              <w:spacing w:after="0"/>
            </w:pPr>
            <w:r>
              <w:rPr>
                <w:rFonts w:ascii="Cambria" w:hAnsi="Cambria"/>
                <w:b/>
                <w:i w:val="0"/>
                <w:color w:val="FFFFFF"/>
                <w:sz w:val="14"/>
              </w:rPr>
              <w:t>Workload</w:t>
            </w:r>
          </w:p>
        </w:tc>
        <w:tc>
          <w:tcPr>
            <w:tcW w:type="dxa" w:w="1130"/>
            <w:tcMar>
              <w:top w:w="55" w:type="dxa"/>
              <w:start w:w="55" w:type="dxa"/>
              <w:bottom w:w="55" w:type="dxa"/>
              <w:end w:w="55" w:type="dxa"/>
            </w:tcMar>
            <w:vAlign w:val="center"/>
            <w:shd w:fill="44403C"/>
          </w:tcPr>
          <w:p>
            <w:pPr>
              <w:spacing w:after="0"/>
            </w:pPr>
            <w:r>
              <w:rPr>
                <w:rFonts w:ascii="Cambria" w:hAnsi="Cambria"/>
                <w:b/>
                <w:i w:val="0"/>
                <w:color w:val="FFFFFF"/>
                <w:sz w:val="14"/>
              </w:rPr>
              <w:t>Sensitivity</w:t>
            </w:r>
          </w:p>
        </w:tc>
        <w:tc>
          <w:tcPr>
            <w:tcW w:type="dxa" w:w="1130"/>
            <w:tcMar>
              <w:top w:w="55" w:type="dxa"/>
              <w:start w:w="55" w:type="dxa"/>
              <w:bottom w:w="55" w:type="dxa"/>
              <w:end w:w="55" w:type="dxa"/>
            </w:tcMar>
            <w:vAlign w:val="center"/>
            <w:shd w:fill="44403C"/>
          </w:tcPr>
          <w:p>
            <w:pPr>
              <w:spacing w:after="0"/>
            </w:pPr>
            <w:r>
              <w:rPr>
                <w:rFonts w:ascii="Cambria" w:hAnsi="Cambria"/>
                <w:b/>
                <w:i w:val="0"/>
                <w:color w:val="FFFFFF"/>
                <w:sz w:val="14"/>
              </w:rPr>
              <w:t>Mission Criticality</w:t>
            </w:r>
          </w:p>
        </w:tc>
        <w:tc>
          <w:tcPr>
            <w:tcW w:type="dxa" w:w="1130"/>
            <w:tcMar>
              <w:top w:w="55" w:type="dxa"/>
              <w:start w:w="55" w:type="dxa"/>
              <w:bottom w:w="55" w:type="dxa"/>
              <w:end w:w="55" w:type="dxa"/>
            </w:tcMar>
            <w:vAlign w:val="center"/>
            <w:shd w:fill="44403C"/>
          </w:tcPr>
          <w:p>
            <w:pPr>
              <w:spacing w:after="0"/>
            </w:pPr>
            <w:r>
              <w:rPr>
                <w:rFonts w:ascii="Cambria" w:hAnsi="Cambria"/>
                <w:b/>
                <w:i w:val="0"/>
                <w:color w:val="FFFFFF"/>
                <w:sz w:val="14"/>
              </w:rPr>
              <w:t>Identity</w:t>
            </w:r>
          </w:p>
        </w:tc>
        <w:tc>
          <w:tcPr>
            <w:tcW w:type="dxa" w:w="1130"/>
            <w:tcMar>
              <w:top w:w="55" w:type="dxa"/>
              <w:start w:w="55" w:type="dxa"/>
              <w:bottom w:w="55" w:type="dxa"/>
              <w:end w:w="55" w:type="dxa"/>
            </w:tcMar>
            <w:vAlign w:val="center"/>
            <w:shd w:fill="44403C"/>
          </w:tcPr>
          <w:p>
            <w:pPr>
              <w:spacing w:after="0"/>
            </w:pPr>
            <w:r>
              <w:rPr>
                <w:rFonts w:ascii="Cambria" w:hAnsi="Cambria"/>
                <w:b/>
                <w:i w:val="0"/>
                <w:color w:val="FFFFFF"/>
                <w:sz w:val="14"/>
              </w:rPr>
              <w:t>Logging</w:t>
            </w:r>
          </w:p>
        </w:tc>
        <w:tc>
          <w:tcPr>
            <w:tcW w:type="dxa" w:w="1130"/>
            <w:tcMar>
              <w:top w:w="55" w:type="dxa"/>
              <w:start w:w="55" w:type="dxa"/>
              <w:bottom w:w="55" w:type="dxa"/>
              <w:end w:w="55" w:type="dxa"/>
            </w:tcMar>
            <w:vAlign w:val="center"/>
            <w:shd w:fill="44403C"/>
          </w:tcPr>
          <w:p>
            <w:pPr>
              <w:spacing w:after="0"/>
            </w:pPr>
            <w:r>
              <w:rPr>
                <w:rFonts w:ascii="Cambria" w:hAnsi="Cambria"/>
                <w:b/>
                <w:i w:val="0"/>
                <w:color w:val="FFFFFF"/>
                <w:sz w:val="14"/>
              </w:rPr>
              <w:t>Backup/DR</w:t>
            </w:r>
          </w:p>
        </w:tc>
        <w:tc>
          <w:tcPr>
            <w:tcW w:type="dxa" w:w="1130"/>
            <w:tcMar>
              <w:top w:w="55" w:type="dxa"/>
              <w:start w:w="55" w:type="dxa"/>
              <w:bottom w:w="55" w:type="dxa"/>
              <w:end w:w="55" w:type="dxa"/>
            </w:tcMar>
            <w:vAlign w:val="center"/>
            <w:shd w:fill="44403C"/>
          </w:tcPr>
          <w:p>
            <w:pPr>
              <w:spacing w:after="0"/>
            </w:pPr>
            <w:r>
              <w:rPr>
                <w:rFonts w:ascii="Cambria" w:hAnsi="Cambria"/>
                <w:b/>
                <w:i w:val="0"/>
                <w:color w:val="FFFFFF"/>
                <w:sz w:val="14"/>
              </w:rPr>
              <w:t>Dependency Complexity</w:t>
            </w:r>
          </w:p>
        </w:tc>
        <w:tc>
          <w:tcPr>
            <w:tcW w:type="dxa" w:w="1130"/>
            <w:tcMar>
              <w:top w:w="55" w:type="dxa"/>
              <w:start w:w="55" w:type="dxa"/>
              <w:bottom w:w="55" w:type="dxa"/>
              <w:end w:w="55" w:type="dxa"/>
            </w:tcMar>
            <w:vAlign w:val="center"/>
            <w:shd w:fill="44403C"/>
          </w:tcPr>
          <w:p>
            <w:pPr>
              <w:spacing w:after="0"/>
            </w:pPr>
            <w:r>
              <w:rPr>
                <w:rFonts w:ascii="Cambria" w:hAnsi="Cambria"/>
                <w:b/>
                <w:i w:val="0"/>
                <w:color w:val="FFFFFF"/>
                <w:sz w:val="14"/>
              </w:rPr>
              <w:t>Proposed Wave</w:t>
            </w:r>
          </w:p>
        </w:tc>
      </w:tr>
      <w:tr>
        <w:trPr>
          <w:cantSplit/>
        </w:trPr>
        <w:tc>
          <w:tcPr>
            <w:tcW w:type="dxa" w:w="1130"/>
            <w:tcMar>
              <w:top w:w="55" w:type="dxa"/>
              <w:start w:w="55" w:type="dxa"/>
              <w:bottom w:w="55" w:type="dxa"/>
              <w:end w:w="55" w:type="dxa"/>
            </w:tcMar>
            <w:vAlign w:val="center"/>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4"/>
              </w:rPr>
            </w:r>
          </w:p>
        </w:tc>
      </w:tr>
      <w:tr>
        <w:trPr>
          <w:cantSplit/>
        </w:trPr>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4"/>
              </w:rPr>
            </w:r>
          </w:p>
        </w:tc>
      </w:tr>
      <w:tr>
        <w:trPr>
          <w:cantSplit/>
        </w:trPr>
        <w:tc>
          <w:tcPr>
            <w:tcW w:type="dxa" w:w="1130"/>
            <w:tcMar>
              <w:top w:w="55" w:type="dxa"/>
              <w:start w:w="55" w:type="dxa"/>
              <w:bottom w:w="55" w:type="dxa"/>
              <w:end w:w="55" w:type="dxa"/>
            </w:tcMar>
            <w:vAlign w:val="center"/>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4"/>
              </w:rPr>
            </w:r>
          </w:p>
        </w:tc>
      </w:tr>
      <w:tr>
        <w:trPr>
          <w:cantSplit/>
        </w:trPr>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4"/>
              </w:rPr>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4"/>
              </w:rPr>
            </w:r>
          </w:p>
        </w:tc>
      </w:tr>
    </w:tbl>
    <w:p>
      <w:pPr>
        <w:pStyle w:val="Heading2"/>
      </w:pPr>
      <w:r>
        <w:rPr>
          <w:rFonts w:ascii="Cambria" w:hAnsi="Cambria"/>
          <w:b/>
          <w:i w:val="0"/>
          <w:color w:val="262626"/>
          <w:sz w:val="25"/>
        </w:rPr>
        <w:t>Hypothetical Example</w:t>
      </w:r>
    </w:p>
    <w:tbl>
      <w:tblPr>
        <w:tblW w:type="auto" w:w="0"/>
        <w:jc w:val="center"/>
        <w:tblLayout w:type="autofit"/>
        <w:tblLook w:firstColumn="1" w:firstRow="1" w:lastColumn="0" w:lastRow="0" w:noHBand="0" w:noVBand="1" w:val="04A0"/>
      </w:tblPr>
      <w:tblGrid>
        <w:gridCol w:w="1130"/>
        <w:gridCol w:w="1130"/>
        <w:gridCol w:w="1130"/>
        <w:gridCol w:w="1130"/>
        <w:gridCol w:w="1130"/>
        <w:gridCol w:w="1130"/>
        <w:gridCol w:w="1130"/>
        <w:gridCol w:w="1130"/>
        <w:gridCol w:w="1130"/>
      </w:tblGrid>
      <w:tr>
        <w:trPr>
          <w:cantSplit/>
          <w:tblHeader w:val="true"/>
        </w:trPr>
        <w:tc>
          <w:tcPr>
            <w:tcW w:type="dxa" w:w="1130"/>
            <w:tcMar>
              <w:top w:w="55" w:type="dxa"/>
              <w:start w:w="55" w:type="dxa"/>
              <w:bottom w:w="55" w:type="dxa"/>
              <w:end w:w="55" w:type="dxa"/>
            </w:tcMar>
            <w:vAlign w:val="center"/>
            <w:shd w:fill="44403C"/>
          </w:tcPr>
          <w:p>
            <w:pPr>
              <w:spacing w:after="0"/>
            </w:pPr>
            <w:r>
              <w:rPr>
                <w:rFonts w:ascii="Cambria" w:hAnsi="Cambria"/>
                <w:b/>
                <w:i w:val="0"/>
                <w:color w:val="FFFFFF"/>
                <w:sz w:val="13"/>
              </w:rPr>
              <w:t>Workload</w:t>
            </w:r>
          </w:p>
        </w:tc>
        <w:tc>
          <w:tcPr>
            <w:tcW w:type="dxa" w:w="1130"/>
            <w:tcMar>
              <w:top w:w="55" w:type="dxa"/>
              <w:start w:w="55" w:type="dxa"/>
              <w:bottom w:w="55" w:type="dxa"/>
              <w:end w:w="55" w:type="dxa"/>
            </w:tcMar>
            <w:vAlign w:val="center"/>
            <w:shd w:fill="44403C"/>
          </w:tcPr>
          <w:p>
            <w:pPr>
              <w:spacing w:after="0"/>
            </w:pPr>
            <w:r>
              <w:rPr>
                <w:rFonts w:ascii="Cambria" w:hAnsi="Cambria"/>
                <w:b/>
                <w:i w:val="0"/>
                <w:color w:val="FFFFFF"/>
                <w:sz w:val="13"/>
              </w:rPr>
              <w:t>Sensitivity</w:t>
            </w:r>
          </w:p>
        </w:tc>
        <w:tc>
          <w:tcPr>
            <w:tcW w:type="dxa" w:w="1130"/>
            <w:tcMar>
              <w:top w:w="55" w:type="dxa"/>
              <w:start w:w="55" w:type="dxa"/>
              <w:bottom w:w="55" w:type="dxa"/>
              <w:end w:w="55" w:type="dxa"/>
            </w:tcMar>
            <w:vAlign w:val="center"/>
            <w:shd w:fill="44403C"/>
          </w:tcPr>
          <w:p>
            <w:pPr>
              <w:spacing w:after="0"/>
            </w:pPr>
            <w:r>
              <w:rPr>
                <w:rFonts w:ascii="Cambria" w:hAnsi="Cambria"/>
                <w:b/>
                <w:i w:val="0"/>
                <w:color w:val="FFFFFF"/>
                <w:sz w:val="13"/>
              </w:rPr>
              <w:t>Criticality</w:t>
            </w:r>
          </w:p>
        </w:tc>
        <w:tc>
          <w:tcPr>
            <w:tcW w:type="dxa" w:w="1130"/>
            <w:tcMar>
              <w:top w:w="55" w:type="dxa"/>
              <w:start w:w="55" w:type="dxa"/>
              <w:bottom w:w="55" w:type="dxa"/>
              <w:end w:w="55" w:type="dxa"/>
            </w:tcMar>
            <w:vAlign w:val="center"/>
            <w:shd w:fill="44403C"/>
          </w:tcPr>
          <w:p>
            <w:pPr>
              <w:spacing w:after="0"/>
            </w:pPr>
            <w:r>
              <w:rPr>
                <w:rFonts w:ascii="Cambria" w:hAnsi="Cambria"/>
                <w:b/>
                <w:i w:val="0"/>
                <w:color w:val="FFFFFF"/>
                <w:sz w:val="13"/>
              </w:rPr>
              <w:t>Identity</w:t>
            </w:r>
          </w:p>
        </w:tc>
        <w:tc>
          <w:tcPr>
            <w:tcW w:type="dxa" w:w="1130"/>
            <w:tcMar>
              <w:top w:w="55" w:type="dxa"/>
              <w:start w:w="55" w:type="dxa"/>
              <w:bottom w:w="55" w:type="dxa"/>
              <w:end w:w="55" w:type="dxa"/>
            </w:tcMar>
            <w:vAlign w:val="center"/>
            <w:shd w:fill="44403C"/>
          </w:tcPr>
          <w:p>
            <w:pPr>
              <w:spacing w:after="0"/>
            </w:pPr>
            <w:r>
              <w:rPr>
                <w:rFonts w:ascii="Cambria" w:hAnsi="Cambria"/>
                <w:b/>
                <w:i w:val="0"/>
                <w:color w:val="FFFFFF"/>
                <w:sz w:val="13"/>
              </w:rPr>
              <w:t>Logging</w:t>
            </w:r>
          </w:p>
        </w:tc>
        <w:tc>
          <w:tcPr>
            <w:tcW w:type="dxa" w:w="1130"/>
            <w:tcMar>
              <w:top w:w="55" w:type="dxa"/>
              <w:start w:w="55" w:type="dxa"/>
              <w:bottom w:w="55" w:type="dxa"/>
              <w:end w:w="55" w:type="dxa"/>
            </w:tcMar>
            <w:vAlign w:val="center"/>
            <w:shd w:fill="44403C"/>
          </w:tcPr>
          <w:p>
            <w:pPr>
              <w:spacing w:after="0"/>
            </w:pPr>
            <w:r>
              <w:rPr>
                <w:rFonts w:ascii="Cambria" w:hAnsi="Cambria"/>
                <w:b/>
                <w:i w:val="0"/>
                <w:color w:val="FFFFFF"/>
                <w:sz w:val="13"/>
              </w:rPr>
              <w:t>DR</w:t>
            </w:r>
          </w:p>
        </w:tc>
        <w:tc>
          <w:tcPr>
            <w:tcW w:type="dxa" w:w="1130"/>
            <w:tcMar>
              <w:top w:w="55" w:type="dxa"/>
              <w:start w:w="55" w:type="dxa"/>
              <w:bottom w:w="55" w:type="dxa"/>
              <w:end w:w="55" w:type="dxa"/>
            </w:tcMar>
            <w:vAlign w:val="center"/>
            <w:shd w:fill="44403C"/>
          </w:tcPr>
          <w:p>
            <w:pPr>
              <w:spacing w:after="0"/>
            </w:pPr>
            <w:r>
              <w:rPr>
                <w:rFonts w:ascii="Cambria" w:hAnsi="Cambria"/>
                <w:b/>
                <w:i w:val="0"/>
                <w:color w:val="FFFFFF"/>
                <w:sz w:val="13"/>
              </w:rPr>
              <w:t>Dependencies</w:t>
            </w:r>
          </w:p>
        </w:tc>
        <w:tc>
          <w:tcPr>
            <w:tcW w:type="dxa" w:w="1130"/>
            <w:tcMar>
              <w:top w:w="55" w:type="dxa"/>
              <w:start w:w="55" w:type="dxa"/>
              <w:bottom w:w="55" w:type="dxa"/>
              <w:end w:w="55" w:type="dxa"/>
            </w:tcMar>
            <w:vAlign w:val="center"/>
            <w:shd w:fill="44403C"/>
          </w:tcPr>
          <w:p>
            <w:pPr>
              <w:spacing w:after="0"/>
            </w:pPr>
            <w:r>
              <w:rPr>
                <w:rFonts w:ascii="Cambria" w:hAnsi="Cambria"/>
                <w:b/>
                <w:i w:val="0"/>
                <w:color w:val="FFFFFF"/>
                <w:sz w:val="13"/>
              </w:rPr>
              <w:t>Wave</w:t>
            </w:r>
          </w:p>
        </w:tc>
        <w:tc>
          <w:tcPr>
            <w:tcW w:type="dxa" w:w="1130"/>
            <w:tcMar>
              <w:top w:w="55" w:type="dxa"/>
              <w:start w:w="55" w:type="dxa"/>
              <w:bottom w:w="55" w:type="dxa"/>
              <w:end w:w="55" w:type="dxa"/>
            </w:tcMar>
            <w:vAlign w:val="center"/>
            <w:shd w:fill="44403C"/>
          </w:tcPr>
          <w:p>
            <w:pPr>
              <w:spacing w:after="0"/>
            </w:pPr>
            <w:r>
              <w:rPr>
                <w:rFonts w:ascii="Cambria" w:hAnsi="Cambria"/>
                <w:b/>
                <w:i w:val="0"/>
                <w:color w:val="FFFFFF"/>
                <w:sz w:val="13"/>
              </w:rPr>
              <w:t>Rationale</w:t>
            </w:r>
          </w:p>
        </w:tc>
      </w:tr>
      <w:tr>
        <w:trPr>
          <w:cantSplit/>
        </w:trPr>
        <w:tc>
          <w:tcPr>
            <w:tcW w:type="dxa" w:w="1130"/>
            <w:tcMar>
              <w:top w:w="55" w:type="dxa"/>
              <w:start w:w="55" w:type="dxa"/>
              <w:bottom w:w="55" w:type="dxa"/>
              <w:end w:w="55" w:type="dxa"/>
            </w:tcMar>
            <w:vAlign w:val="center"/>
          </w:tcPr>
          <w:p>
            <w:pPr>
              <w:spacing w:after="0"/>
            </w:pPr>
            <w:r>
              <w:rPr>
                <w:rFonts w:ascii="Cambria" w:hAnsi="Cambria"/>
                <w:b w:val="0"/>
                <w:i w:val="0"/>
                <w:color w:val="262626"/>
                <w:sz w:val="13"/>
              </w:rPr>
              <w:t>Public website</w:t>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3"/>
              </w:rPr>
              <w:t>Public</w:t>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3"/>
              </w:rPr>
              <w:t>3</w:t>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3"/>
              </w:rPr>
              <w:t>4</w:t>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3"/>
              </w:rPr>
              <w:t>4</w:t>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3"/>
              </w:rPr>
              <w:t>4</w:t>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3"/>
              </w:rPr>
              <w:t>2</w:t>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3"/>
              </w:rPr>
              <w:t>Wave 1</w:t>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3"/>
              </w:rPr>
              <w:t>Low sensitivity and high technical readiness</w:t>
            </w:r>
          </w:p>
        </w:tc>
      </w:tr>
      <w:tr>
        <w:trPr>
          <w:cantSplit/>
        </w:trPr>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3"/>
              </w:rPr>
              <w:t>HR portal</w:t>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3"/>
              </w:rPr>
              <w:t>Restricted</w:t>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3"/>
              </w:rPr>
              <w:t>4</w:t>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3"/>
              </w:rPr>
              <w:t>2</w:t>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3"/>
              </w:rPr>
              <w:t>3</w:t>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3"/>
              </w:rPr>
              <w:t>4</w:t>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3"/>
              </w:rPr>
              <w:t>3</w:t>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3"/>
              </w:rPr>
              <w:t>Wave 3</w:t>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3"/>
              </w:rPr>
              <w:t>Sensitive data plus legacy identity dependency</w:t>
            </w:r>
          </w:p>
        </w:tc>
      </w:tr>
      <w:tr>
        <w:trPr>
          <w:cantSplit/>
        </w:trPr>
        <w:tc>
          <w:tcPr>
            <w:tcW w:type="dxa" w:w="1130"/>
            <w:tcMar>
              <w:top w:w="55" w:type="dxa"/>
              <w:start w:w="55" w:type="dxa"/>
              <w:bottom w:w="55" w:type="dxa"/>
              <w:end w:w="55" w:type="dxa"/>
            </w:tcMar>
            <w:vAlign w:val="center"/>
          </w:tcPr>
          <w:p>
            <w:pPr>
              <w:spacing w:after="0"/>
            </w:pPr>
            <w:r>
              <w:rPr>
                <w:rFonts w:ascii="Cambria" w:hAnsi="Cambria"/>
                <w:b w:val="0"/>
                <w:i w:val="0"/>
                <w:color w:val="262626"/>
                <w:sz w:val="13"/>
              </w:rPr>
              <w:t>Financial reporting DB</w:t>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3"/>
              </w:rPr>
              <w:t>Confidential</w:t>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3"/>
              </w:rPr>
              <w:t>5</w:t>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3"/>
              </w:rPr>
              <w:t>3</w:t>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3"/>
              </w:rPr>
              <w:t>4</w:t>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3"/>
              </w:rPr>
              <w:t>5</w:t>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3"/>
              </w:rPr>
              <w:t>5</w:t>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3"/>
              </w:rPr>
              <w:t>Wave 4</w:t>
            </w:r>
          </w:p>
        </w:tc>
        <w:tc>
          <w:tcPr>
            <w:tcW w:type="dxa" w:w="1130"/>
            <w:tcMar>
              <w:top w:w="55" w:type="dxa"/>
              <w:start w:w="55" w:type="dxa"/>
              <w:bottom w:w="55" w:type="dxa"/>
              <w:end w:w="55" w:type="dxa"/>
            </w:tcMar>
            <w:vAlign w:val="center"/>
          </w:tcPr>
          <w:p>
            <w:pPr>
              <w:spacing w:after="0"/>
            </w:pPr>
            <w:r>
              <w:rPr>
                <w:rFonts w:ascii="Cambria" w:hAnsi="Cambria"/>
                <w:b w:val="0"/>
                <w:i w:val="0"/>
                <w:color w:val="262626"/>
                <w:sz w:val="13"/>
              </w:rPr>
              <w:t>Mission-critical and high dependency complexity</w:t>
            </w:r>
          </w:p>
        </w:tc>
      </w:tr>
      <w:tr>
        <w:trPr>
          <w:cantSplit/>
        </w:trPr>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3"/>
              </w:rPr>
              <w:t>Legacy API gateway</w:t>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3"/>
              </w:rPr>
              <w:t>Internal</w:t>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3"/>
              </w:rPr>
              <w:t>4</w:t>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3"/>
              </w:rPr>
              <w:t>1</w:t>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3"/>
              </w:rPr>
              <w:t>2</w:t>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3"/>
              </w:rPr>
              <w:t>3</w:t>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3"/>
              </w:rPr>
              <w:t>4</w:t>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3"/>
              </w:rPr>
              <w:t>Hold</w:t>
            </w:r>
          </w:p>
        </w:tc>
        <w:tc>
          <w:tcPr>
            <w:tcW w:type="dxa" w:w="1130"/>
            <w:tcMar>
              <w:top w:w="55" w:type="dxa"/>
              <w:start w:w="55" w:type="dxa"/>
              <w:bottom w:w="55" w:type="dxa"/>
              <w:end w:w="55" w:type="dxa"/>
            </w:tcMar>
            <w:vAlign w:val="center"/>
            <w:shd w:fill="F6F4F0"/>
          </w:tcPr>
          <w:p>
            <w:pPr>
              <w:spacing w:after="0"/>
            </w:pPr>
            <w:r>
              <w:rPr>
                <w:rFonts w:ascii="Cambria" w:hAnsi="Cambria"/>
                <w:b w:val="0"/>
                <w:i w:val="0"/>
                <w:color w:val="262626"/>
                <w:sz w:val="13"/>
              </w:rPr>
              <w:t>Unsupported client protocol and no rollback path</w:t>
            </w:r>
          </w:p>
        </w:tc>
      </w:tr>
    </w:tbl>
    <w:p>
      <w:pPr>
        <w:pStyle w:val="Heading1"/>
      </w:pPr>
      <w:r>
        <w:t>7. Multi-Vendor Integration Readiness Checklist</w:t>
      </w:r>
    </w:p>
    <w:p>
      <w:pPr>
        <w:spacing w:after="160"/>
      </w:pPr>
      <w:r>
        <w:rPr>
          <w:rFonts w:ascii="Cambria" w:hAnsi="Cambria"/>
          <w:b w:val="0"/>
          <w:i w:val="0"/>
          <w:color w:val="262626"/>
          <w:sz w:val="21"/>
        </w:rPr>
        <w:t>Use before procurement, pilot deployment, and major policy-enforcement changes.</w:t>
      </w:r>
    </w:p>
    <w:p>
      <w:pPr>
        <w:spacing w:before="200" w:after="20"/>
        <w:ind w:left="220"/>
      </w:pPr>
      <w:r>
        <w:rPr>
          <w:rFonts w:ascii="Cambria" w:hAnsi="Cambria"/>
          <w:b/>
          <w:i w:val="0"/>
          <w:color w:val="262626"/>
          <w:sz w:val="21"/>
        </w:rPr>
        <w:t>How this template complements SP 1800-35.</w:t>
      </w:r>
    </w:p>
    <w:p>
      <w:pPr>
        <w:spacing w:before="20" w:after="140"/>
        <w:ind w:left="220"/>
      </w:pPr>
      <w:r>
        <w:rPr>
          <w:rFonts w:ascii="Cambria" w:hAnsi="Cambria"/>
          <w:b w:val="0"/>
          <w:i/>
          <w:color w:val="262626"/>
          <w:sz w:val="19"/>
        </w:rPr>
        <w:t>The checklist converts documented integration findings into questions that can be validated before organizations depend on an end-to-end policy chain.  Alignment: SP 1800-35 Sections 5.1-5.3 and 8.5.</w:t>
      </w:r>
    </w:p>
    <w:tbl>
      <w:tblPr>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5"/>
              </w:rPr>
              <w:t>ID</w:t>
            </w:r>
          </w:p>
        </w:tc>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5"/>
              </w:rPr>
              <w:t>Readiness Question</w:t>
            </w:r>
          </w:p>
        </w:tc>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5"/>
              </w:rPr>
              <w:t>Suggested Evidence</w:t>
            </w:r>
          </w:p>
        </w:tc>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5"/>
              </w:rPr>
              <w:t>Status / Gap</w:t>
            </w:r>
          </w:p>
        </w:tc>
      </w:tr>
      <w:tr>
        <w:trPr>
          <w:cantSplit/>
        </w:trPr>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INT-01</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Can the policy decision function consume endpoint-compliance signals?</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Integration configuration and test logs</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r>
          </w:p>
        </w:tc>
      </w:tr>
      <w:tr>
        <w:trPr>
          <w:cantSplit/>
        </w:trPr>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INT-02</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Can endpoint-compliance information flow bidirectionally where required?</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Connector/API test</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r>
          </w:p>
        </w:tc>
      </w:tr>
      <w:tr>
        <w:trPr>
          <w:cantSplit/>
        </w:trPr>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INT-03</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Can SIEM/SOAR context influence access decisions in near real time?</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SIEM/SOAR-to-PDP test</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r>
          </w:p>
        </w:tc>
      </w:tr>
      <w:tr>
        <w:trPr>
          <w:cantSplit/>
        </w:trPr>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INT-04</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Can multiple PDPs share or reconcile risk context?</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Architecture review and event correlation</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r>
          </w:p>
        </w:tc>
      </w:tr>
      <w:tr>
        <w:trPr>
          <w:cantSplit/>
        </w:trPr>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INT-05</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Can non-compliant endpoints be blocked before or at access time?</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Negative access test</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r>
          </w:p>
        </w:tc>
      </w:tr>
      <w:tr>
        <w:trPr>
          <w:cantSplit/>
        </w:trPr>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INT-06</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Are protected resources themselves authenticated/health-checked where feasible?</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Resource validation evidence</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r>
          </w:p>
        </w:tc>
      </w:tr>
      <w:tr>
        <w:trPr>
          <w:cantSplit/>
        </w:trPr>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INT-07</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Is there a consolidated view of policies across enforcement points?</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Policy inventory</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r>
          </w:p>
        </w:tc>
      </w:tr>
      <w:tr>
        <w:trPr>
          <w:cantSplit/>
        </w:trPr>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INT-08</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Can data-security events inform access-policy decisions?</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DLP/data-security integration test</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r>
          </w:p>
        </w:tc>
      </w:tr>
      <w:tr>
        <w:trPr>
          <w:cantSplit/>
        </w:trPr>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INT-09</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Are discovery, SIEM, vulnerability scanning, and validation tools operational before rollout?</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t>Tool coverage report</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5"/>
              </w:rPr>
            </w:r>
          </w:p>
        </w:tc>
      </w:tr>
      <w:tr>
        <w:trPr>
          <w:cantSplit/>
        </w:trPr>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INT-10</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Can the organization rerun an access test suite after each migration wave?</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t>Test evidence repository</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5"/>
              </w:rPr>
            </w:r>
          </w:p>
        </w:tc>
      </w:tr>
    </w:tbl>
    <w:p>
      <w:pPr>
        <w:pStyle w:val="Heading2"/>
      </w:pPr>
      <w:r>
        <w:rPr>
          <w:rFonts w:ascii="Cambria" w:hAnsi="Cambria"/>
          <w:b/>
          <w:i w:val="0"/>
          <w:color w:val="262626"/>
          <w:sz w:val="25"/>
        </w:rPr>
        <w:t>Hypothetical Review Snapshot</w:t>
      </w:r>
    </w:p>
    <w:tbl>
      <w:tblPr>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6"/>
              </w:rPr>
              <w:t>Control</w:t>
            </w:r>
          </w:p>
        </w:tc>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6"/>
              </w:rPr>
              <w:t>Finding</w:t>
            </w:r>
          </w:p>
        </w:tc>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6"/>
              </w:rPr>
              <w:t>Implication</w:t>
            </w:r>
          </w:p>
        </w:tc>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6"/>
              </w:rPr>
              <w:t>Action</w:t>
            </w:r>
          </w:p>
        </w:tc>
      </w:tr>
      <w:tr>
        <w:trPr>
          <w:cantSplit/>
        </w:trPr>
        <w:tc>
          <w:tcPr>
            <w:tcW w:type="dxa" w:w="2541"/>
            <w:tcMar>
              <w:top w:w="55" w:type="dxa"/>
              <w:start w:w="55" w:type="dxa"/>
              <w:bottom w:w="55" w:type="dxa"/>
              <w:end w:w="55" w:type="dxa"/>
            </w:tcMar>
            <w:vAlign w:val="center"/>
          </w:tcPr>
          <w:p>
            <w:pPr>
              <w:spacing w:after="0"/>
            </w:pPr>
            <w:r>
              <w:rPr>
                <w:rFonts w:ascii="Cambria" w:hAnsi="Cambria"/>
                <w:b w:val="0"/>
                <w:i w:val="0"/>
                <w:color w:val="262626"/>
                <w:sz w:val="16"/>
              </w:rPr>
              <w:t>INT-02</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6"/>
              </w:rPr>
              <w:t>One-way endpoint posture integration</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6"/>
              </w:rPr>
              <w:t>One policy component can miss compliance changes detected elsewhere</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6"/>
              </w:rPr>
              <w:t>Add reverse signal or compensating monitoring before rollout</w:t>
            </w:r>
          </w:p>
        </w:tc>
      </w:tr>
      <w:tr>
        <w:trPr>
          <w:cantSplit/>
        </w:trPr>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6"/>
              </w:rPr>
              <w:t>INT-04</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6"/>
              </w:rPr>
              <w:t>Two PDPs maintain separate risk views</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6"/>
              </w:rPr>
              <w:t>Inconsistent access decisions possible</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6"/>
              </w:rPr>
              <w:t>Define shared context source and policy reconciliation process</w:t>
            </w:r>
          </w:p>
        </w:tc>
      </w:tr>
      <w:tr>
        <w:trPr>
          <w:cantSplit/>
        </w:trPr>
        <w:tc>
          <w:tcPr>
            <w:tcW w:type="dxa" w:w="2541"/>
            <w:tcMar>
              <w:top w:w="55" w:type="dxa"/>
              <w:start w:w="55" w:type="dxa"/>
              <w:bottom w:w="55" w:type="dxa"/>
              <w:end w:w="55" w:type="dxa"/>
            </w:tcMar>
            <w:vAlign w:val="center"/>
          </w:tcPr>
          <w:p>
            <w:pPr>
              <w:spacing w:after="0"/>
            </w:pPr>
            <w:r>
              <w:rPr>
                <w:rFonts w:ascii="Cambria" w:hAnsi="Cambria"/>
                <w:b w:val="0"/>
                <w:i w:val="0"/>
                <w:color w:val="262626"/>
                <w:sz w:val="16"/>
              </w:rPr>
              <w:t>INT-09</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6"/>
              </w:rPr>
              <w:t>Cloud audit logs incomplete</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6"/>
              </w:rPr>
              <w:t>Migration wave would reduce observability</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6"/>
              </w:rPr>
              <w:t>Close log-source gap before cutover</w:t>
            </w:r>
          </w:p>
        </w:tc>
      </w:tr>
    </w:tbl>
    <w:p>
      <w:r>
        <w:br w:type="page"/>
      </w:r>
    </w:p>
    <w:p>
      <w:pPr>
        <w:pStyle w:val="Heading1"/>
      </w:pPr>
      <w:r>
        <w:t>8. Zero Trust Transition Test Case Library</w:t>
      </w:r>
    </w:p>
    <w:p>
      <w:pPr>
        <w:spacing w:after="160"/>
      </w:pPr>
      <w:r>
        <w:rPr>
          <w:rFonts w:ascii="Cambria" w:hAnsi="Cambria"/>
          <w:b w:val="0"/>
          <w:i w:val="0"/>
          <w:color w:val="262626"/>
          <w:sz w:val="21"/>
        </w:rPr>
        <w:t>Reusable validation templates for incremental rollout and periodic assurance.</w:t>
      </w:r>
    </w:p>
    <w:p>
      <w:pPr>
        <w:spacing w:before="200" w:after="20"/>
        <w:ind w:left="220"/>
      </w:pPr>
      <w:r>
        <w:rPr>
          <w:rFonts w:ascii="Cambria" w:hAnsi="Cambria"/>
          <w:b/>
          <w:i w:val="0"/>
          <w:color w:val="262626"/>
          <w:sz w:val="21"/>
        </w:rPr>
        <w:t>How this template complements SP 1800-35.</w:t>
      </w:r>
    </w:p>
    <w:p>
      <w:pPr>
        <w:spacing w:before="20" w:after="140"/>
        <w:ind w:left="220"/>
      </w:pPr>
      <w:r>
        <w:rPr>
          <w:rFonts w:ascii="Cambria" w:hAnsi="Cambria"/>
          <w:b w:val="0"/>
          <w:i/>
          <w:color w:val="262626"/>
          <w:sz w:val="19"/>
        </w:rPr>
        <w:t>SP 1800-35 recommends repeatable testing across on-premises/cloud resources, managed/unmanaged endpoints, authorized/unauthorized subjects, and service-to-service requests. This library turns those scenarios into reusable test records.  Alignment: SP 1800-35 Section 8.6.</w:t>
      </w:r>
    </w:p>
    <w:p>
      <w:pPr>
        <w:pStyle w:val="Heading2"/>
      </w:pPr>
      <w:r>
        <w:rPr>
          <w:rFonts w:ascii="Cambria" w:hAnsi="Cambria"/>
          <w:b/>
          <w:i w:val="0"/>
          <w:color w:val="262626"/>
          <w:sz w:val="25"/>
        </w:rPr>
        <w:t>Test Case Template</w:t>
      </w:r>
    </w:p>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Test ID</w:t>
            </w:r>
          </w:p>
        </w:tc>
        <w:tc>
          <w:tcPr>
            <w:tcW w:type="dxa" w:w="5083"/>
            <w:tcMar>
              <w:top w:w="40" w:type="dxa"/>
              <w:start w:w="60" w:type="dxa"/>
              <w:bottom w:w="40" w:type="dxa"/>
              <w:end w:w="60" w:type="dxa"/>
            </w:tcMar>
            <w:shd w:fill="F5F3EF"/>
          </w:tcPr>
          <w:p>
            <w:r>
              <w:rPr>
                <w:rFonts w:ascii="Cambria" w:hAnsi="Cambria"/>
                <w:b w:val="0"/>
                <w:i w:val="0"/>
                <w:color w:val="6B6459"/>
                <w:sz w:val="19"/>
              </w:rPr>
              <w:t>[complete during validation]</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Scenario</w:t>
            </w:r>
          </w:p>
        </w:tc>
        <w:tc>
          <w:tcPr>
            <w:tcW w:type="dxa" w:w="5083"/>
            <w:tcMar>
              <w:top w:w="40" w:type="dxa"/>
              <w:start w:w="60" w:type="dxa"/>
              <w:bottom w:w="40" w:type="dxa"/>
              <w:end w:w="60" w:type="dxa"/>
            </w:tcMar>
            <w:shd w:fill="F5F3EF"/>
          </w:tcPr>
          <w:p>
            <w:r>
              <w:rPr>
                <w:rFonts w:ascii="Cambria" w:hAnsi="Cambria"/>
                <w:b w:val="0"/>
                <w:i w:val="0"/>
                <w:color w:val="6B6459"/>
                <w:sz w:val="19"/>
              </w:rPr>
              <w:t>[complete during validation]</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Preconditions</w:t>
            </w:r>
          </w:p>
        </w:tc>
        <w:tc>
          <w:tcPr>
            <w:tcW w:type="dxa" w:w="5083"/>
            <w:tcMar>
              <w:top w:w="40" w:type="dxa"/>
              <w:start w:w="60" w:type="dxa"/>
              <w:bottom w:w="40" w:type="dxa"/>
              <w:end w:w="60" w:type="dxa"/>
            </w:tcMar>
            <w:shd w:fill="F5F3EF"/>
          </w:tcPr>
          <w:p>
            <w:r>
              <w:rPr>
                <w:rFonts w:ascii="Cambria" w:hAnsi="Cambria"/>
                <w:b w:val="0"/>
                <w:i w:val="0"/>
                <w:color w:val="6B6459"/>
                <w:sz w:val="19"/>
              </w:rPr>
              <w:t>[complete during validation]</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Action</w:t>
            </w:r>
          </w:p>
        </w:tc>
        <w:tc>
          <w:tcPr>
            <w:tcW w:type="dxa" w:w="5083"/>
            <w:tcMar>
              <w:top w:w="40" w:type="dxa"/>
              <w:start w:w="60" w:type="dxa"/>
              <w:bottom w:w="40" w:type="dxa"/>
              <w:end w:w="60" w:type="dxa"/>
            </w:tcMar>
            <w:shd w:fill="F5F3EF"/>
          </w:tcPr>
          <w:p>
            <w:r>
              <w:rPr>
                <w:rFonts w:ascii="Cambria" w:hAnsi="Cambria"/>
                <w:b w:val="0"/>
                <w:i w:val="0"/>
                <w:color w:val="6B6459"/>
                <w:sz w:val="19"/>
              </w:rPr>
              <w:t>[complete during validation]</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Expected result</w:t>
            </w:r>
          </w:p>
        </w:tc>
        <w:tc>
          <w:tcPr>
            <w:tcW w:type="dxa" w:w="5083"/>
            <w:tcMar>
              <w:top w:w="40" w:type="dxa"/>
              <w:start w:w="60" w:type="dxa"/>
              <w:bottom w:w="40" w:type="dxa"/>
              <w:end w:w="60" w:type="dxa"/>
            </w:tcMar>
            <w:shd w:fill="F5F3EF"/>
          </w:tcPr>
          <w:p>
            <w:r>
              <w:rPr>
                <w:rFonts w:ascii="Cambria" w:hAnsi="Cambria"/>
                <w:b w:val="0"/>
                <w:i w:val="0"/>
                <w:color w:val="6B6459"/>
                <w:sz w:val="19"/>
              </w:rPr>
              <w:t>[complete during validation]</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Actual result</w:t>
            </w:r>
          </w:p>
        </w:tc>
        <w:tc>
          <w:tcPr>
            <w:tcW w:type="dxa" w:w="5083"/>
            <w:tcMar>
              <w:top w:w="40" w:type="dxa"/>
              <w:start w:w="60" w:type="dxa"/>
              <w:bottom w:w="40" w:type="dxa"/>
              <w:end w:w="60" w:type="dxa"/>
            </w:tcMar>
            <w:shd w:fill="F5F3EF"/>
          </w:tcPr>
          <w:p>
            <w:r>
              <w:rPr>
                <w:rFonts w:ascii="Cambria" w:hAnsi="Cambria"/>
                <w:b w:val="0"/>
                <w:i w:val="0"/>
                <w:color w:val="6B6459"/>
                <w:sz w:val="19"/>
              </w:rPr>
              <w:t>[complete during validation]</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Evidence collected</w:t>
            </w:r>
          </w:p>
        </w:tc>
        <w:tc>
          <w:tcPr>
            <w:tcW w:type="dxa" w:w="5083"/>
            <w:tcMar>
              <w:top w:w="40" w:type="dxa"/>
              <w:start w:w="60" w:type="dxa"/>
              <w:bottom w:w="40" w:type="dxa"/>
              <w:end w:w="60" w:type="dxa"/>
            </w:tcMar>
            <w:shd w:fill="F5F3EF"/>
          </w:tcPr>
          <w:p>
            <w:r>
              <w:rPr>
                <w:rFonts w:ascii="Cambria" w:hAnsi="Cambria"/>
                <w:b w:val="0"/>
                <w:i w:val="0"/>
                <w:color w:val="6B6459"/>
                <w:sz w:val="19"/>
              </w:rPr>
              <w:t>[complete during validation]</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Owner</w:t>
            </w:r>
          </w:p>
        </w:tc>
        <w:tc>
          <w:tcPr>
            <w:tcW w:type="dxa" w:w="5083"/>
            <w:tcMar>
              <w:top w:w="40" w:type="dxa"/>
              <w:start w:w="60" w:type="dxa"/>
              <w:bottom w:w="40" w:type="dxa"/>
              <w:end w:w="60" w:type="dxa"/>
            </w:tcMar>
            <w:shd w:fill="F5F3EF"/>
          </w:tcPr>
          <w:p>
            <w:r>
              <w:rPr>
                <w:rFonts w:ascii="Cambria" w:hAnsi="Cambria"/>
                <w:b w:val="0"/>
                <w:i w:val="0"/>
                <w:color w:val="6B6459"/>
                <w:sz w:val="19"/>
              </w:rPr>
              <w:t>[complete during validation]</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Frequency / trigger</w:t>
            </w:r>
          </w:p>
        </w:tc>
        <w:tc>
          <w:tcPr>
            <w:tcW w:type="dxa" w:w="5083"/>
            <w:tcMar>
              <w:top w:w="40" w:type="dxa"/>
              <w:start w:w="60" w:type="dxa"/>
              <w:bottom w:w="40" w:type="dxa"/>
              <w:end w:w="60" w:type="dxa"/>
            </w:tcMar>
            <w:shd w:fill="F5F3EF"/>
          </w:tcPr>
          <w:p>
            <w:r>
              <w:rPr>
                <w:rFonts w:ascii="Cambria" w:hAnsi="Cambria"/>
                <w:b w:val="0"/>
                <w:i w:val="0"/>
                <w:color w:val="6B6459"/>
                <w:sz w:val="19"/>
              </w:rPr>
              <w:t>[complete during validation]</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Mapped transition risk</w:t>
            </w:r>
          </w:p>
        </w:tc>
        <w:tc>
          <w:tcPr>
            <w:tcW w:type="dxa" w:w="5083"/>
            <w:tcMar>
              <w:top w:w="40" w:type="dxa"/>
              <w:start w:w="60" w:type="dxa"/>
              <w:bottom w:w="40" w:type="dxa"/>
              <w:end w:w="60" w:type="dxa"/>
            </w:tcMar>
            <w:shd w:fill="F5F3EF"/>
          </w:tcPr>
          <w:p>
            <w:r>
              <w:rPr>
                <w:rFonts w:ascii="Cambria" w:hAnsi="Cambria"/>
                <w:b w:val="0"/>
                <w:i w:val="0"/>
                <w:color w:val="6B6459"/>
                <w:sz w:val="19"/>
              </w:rPr>
              <w:t>[complete during validation]</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Pass / Fail</w:t>
            </w:r>
          </w:p>
        </w:tc>
        <w:tc>
          <w:tcPr>
            <w:tcW w:type="dxa" w:w="5083"/>
            <w:tcMar>
              <w:top w:w="40" w:type="dxa"/>
              <w:start w:w="60" w:type="dxa"/>
              <w:bottom w:w="40" w:type="dxa"/>
              <w:end w:w="60" w:type="dxa"/>
            </w:tcMar>
            <w:shd w:fill="F5F3EF"/>
          </w:tcPr>
          <w:p>
            <w:r>
              <w:rPr>
                <w:rFonts w:ascii="Cambria" w:hAnsi="Cambria"/>
                <w:b w:val="0"/>
                <w:i w:val="0"/>
                <w:color w:val="6B6459"/>
                <w:sz w:val="19"/>
              </w:rPr>
              <w:t>[complete during validation]</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Remediation ticket</w:t>
            </w:r>
          </w:p>
        </w:tc>
        <w:tc>
          <w:tcPr>
            <w:tcW w:type="dxa" w:w="5083"/>
            <w:tcMar>
              <w:top w:w="40" w:type="dxa"/>
              <w:start w:w="60" w:type="dxa"/>
              <w:bottom w:w="40" w:type="dxa"/>
              <w:end w:w="60" w:type="dxa"/>
            </w:tcMar>
            <w:shd w:fill="F5F3EF"/>
          </w:tcPr>
          <w:p>
            <w:r>
              <w:rPr>
                <w:rFonts w:ascii="Cambria" w:hAnsi="Cambria"/>
                <w:b w:val="0"/>
                <w:i w:val="0"/>
                <w:color w:val="6B6459"/>
                <w:sz w:val="19"/>
              </w:rPr>
              <w:t>[complete during validation]</w:t>
            </w:r>
          </w:p>
        </w:tc>
      </w:tr>
    </w:tbl>
    <w:p>
      <w:pPr>
        <w:pStyle w:val="Heading2"/>
      </w:pPr>
      <w:r>
        <w:rPr>
          <w:rFonts w:ascii="Cambria" w:hAnsi="Cambria"/>
          <w:b/>
          <w:i w:val="0"/>
          <w:color w:val="262626"/>
          <w:sz w:val="25"/>
        </w:rPr>
        <w:t>Starter Test Library</w:t>
      </w:r>
    </w:p>
    <w:tbl>
      <w:tblPr>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4"/>
              </w:rPr>
              <w:t>ID</w:t>
            </w:r>
          </w:p>
        </w:tc>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4"/>
              </w:rPr>
              <w:t>Scenario</w:t>
            </w:r>
          </w:p>
        </w:tc>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4"/>
              </w:rPr>
              <w:t>Expected Result</w:t>
            </w:r>
          </w:p>
        </w:tc>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4"/>
              </w:rPr>
              <w:t>Trigger</w:t>
            </w:r>
          </w:p>
        </w:tc>
      </w:tr>
      <w:tr>
        <w:trPr>
          <w:cantSplit/>
        </w:trPr>
        <w:tc>
          <w:tcPr>
            <w:tcW w:type="dxa" w:w="2541"/>
            <w:tcMar>
              <w:top w:w="55" w:type="dxa"/>
              <w:start w:w="55" w:type="dxa"/>
              <w:bottom w:w="55" w:type="dxa"/>
              <w:end w:w="55" w:type="dxa"/>
            </w:tcMar>
            <w:vAlign w:val="center"/>
          </w:tcPr>
          <w:p>
            <w:pPr>
              <w:spacing w:after="0"/>
            </w:pPr>
            <w:r>
              <w:rPr>
                <w:rFonts w:ascii="Cambria" w:hAnsi="Cambria"/>
                <w:b w:val="0"/>
                <w:i w:val="0"/>
                <w:color w:val="262626"/>
                <w:sz w:val="14"/>
              </w:rPr>
              <w:t>ZT-T01</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4"/>
              </w:rPr>
              <w:t>Authorized user + managed compliant endpoint</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4"/>
              </w:rPr>
              <w:t>Access granted; session logged and reevaluated</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4"/>
              </w:rPr>
              <w:t>After material policy change</w:t>
            </w:r>
          </w:p>
        </w:tc>
      </w:tr>
      <w:tr>
        <w:trPr>
          <w:cantSplit/>
        </w:trPr>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4"/>
              </w:rPr>
              <w:t>ZT-T02</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4"/>
              </w:rPr>
              <w:t>Authorized user + unmanaged endpoint to restricted cloud resource</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4"/>
              </w:rPr>
              <w:t>Denied or restricted according to policy</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4"/>
              </w:rPr>
              <w:t>Each migration wave</w:t>
            </w:r>
          </w:p>
        </w:tc>
      </w:tr>
      <w:tr>
        <w:trPr>
          <w:cantSplit/>
        </w:trPr>
        <w:tc>
          <w:tcPr>
            <w:tcW w:type="dxa" w:w="2541"/>
            <w:tcMar>
              <w:top w:w="55" w:type="dxa"/>
              <w:start w:w="55" w:type="dxa"/>
              <w:bottom w:w="55" w:type="dxa"/>
              <w:end w:w="55" w:type="dxa"/>
            </w:tcMar>
            <w:vAlign w:val="center"/>
          </w:tcPr>
          <w:p>
            <w:pPr>
              <w:spacing w:after="0"/>
            </w:pPr>
            <w:r>
              <w:rPr>
                <w:rFonts w:ascii="Cambria" w:hAnsi="Cambria"/>
                <w:b w:val="0"/>
                <w:i w:val="0"/>
                <w:color w:val="262626"/>
                <w:sz w:val="14"/>
              </w:rPr>
              <w:t>ZT-T03</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4"/>
              </w:rPr>
              <w:t>Unauthorized user + managed endpoint</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4"/>
              </w:rPr>
              <w:t>Access denied and evidence recorded</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4"/>
              </w:rPr>
              <w:t>Quarterly</w:t>
            </w:r>
          </w:p>
        </w:tc>
      </w:tr>
      <w:tr>
        <w:trPr>
          <w:cantSplit/>
        </w:trPr>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4"/>
              </w:rPr>
              <w:t>ZT-T04</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4"/>
              </w:rPr>
              <w:t>Endpoint becomes non-compliant during active session</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4"/>
              </w:rPr>
              <w:t>Session restricted/revoked according to policy</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4"/>
              </w:rPr>
              <w:t>Quarterly</w:t>
            </w:r>
          </w:p>
        </w:tc>
      </w:tr>
      <w:tr>
        <w:trPr>
          <w:cantSplit/>
        </w:trPr>
        <w:tc>
          <w:tcPr>
            <w:tcW w:type="dxa" w:w="2541"/>
            <w:tcMar>
              <w:top w:w="55" w:type="dxa"/>
              <w:start w:w="55" w:type="dxa"/>
              <w:bottom w:w="55" w:type="dxa"/>
              <w:end w:w="55" w:type="dxa"/>
            </w:tcMar>
            <w:vAlign w:val="center"/>
          </w:tcPr>
          <w:p>
            <w:pPr>
              <w:spacing w:after="0"/>
            </w:pPr>
            <w:r>
              <w:rPr>
                <w:rFonts w:ascii="Cambria" w:hAnsi="Cambria"/>
                <w:b w:val="0"/>
                <w:i w:val="0"/>
                <w:color w:val="262626"/>
                <w:sz w:val="14"/>
              </w:rPr>
              <w:t>ZT-T05</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4"/>
              </w:rPr>
              <w:t>Authorized service-to-service request</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4"/>
              </w:rPr>
              <w:t>Approved service identity succeeds and is logged</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4"/>
              </w:rPr>
              <w:t>Each release</w:t>
            </w:r>
          </w:p>
        </w:tc>
      </w:tr>
      <w:tr>
        <w:trPr>
          <w:cantSplit/>
        </w:trPr>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4"/>
              </w:rPr>
              <w:t>ZT-T06</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4"/>
              </w:rPr>
              <w:t>Unauthorized service-to-service request</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4"/>
              </w:rPr>
              <w:t>Request denied and evidence captured</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4"/>
              </w:rPr>
              <w:t>Each release</w:t>
            </w:r>
          </w:p>
        </w:tc>
      </w:tr>
      <w:tr>
        <w:trPr>
          <w:cantSplit/>
        </w:trPr>
        <w:tc>
          <w:tcPr>
            <w:tcW w:type="dxa" w:w="2541"/>
            <w:tcMar>
              <w:top w:w="55" w:type="dxa"/>
              <w:start w:w="55" w:type="dxa"/>
              <w:bottom w:w="55" w:type="dxa"/>
              <w:end w:w="55" w:type="dxa"/>
            </w:tcMar>
            <w:vAlign w:val="center"/>
          </w:tcPr>
          <w:p>
            <w:pPr>
              <w:spacing w:after="0"/>
            </w:pPr>
            <w:r>
              <w:rPr>
                <w:rFonts w:ascii="Cambria" w:hAnsi="Cambria"/>
                <w:b w:val="0"/>
                <w:i w:val="0"/>
                <w:color w:val="262626"/>
                <w:sz w:val="14"/>
              </w:rPr>
              <w:t>ZT-T07</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4"/>
              </w:rPr>
              <w:t>Approved legacy identity exception</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4"/>
              </w:rPr>
              <w:t>Access only through compensating control; exception linked</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4"/>
              </w:rPr>
              <w:t>Monthly until retired</w:t>
            </w:r>
          </w:p>
        </w:tc>
      </w:tr>
      <w:tr>
        <w:trPr>
          <w:cantSplit/>
        </w:trPr>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4"/>
              </w:rPr>
              <w:t>ZT-T08</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4"/>
              </w:rPr>
              <w:t>Expired exception</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4"/>
              </w:rPr>
              <w:t>Old path denied or change blocked; record closed</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4"/>
              </w:rPr>
              <w:t>At expiry</w:t>
            </w:r>
          </w:p>
        </w:tc>
      </w:tr>
      <w:tr>
        <w:trPr>
          <w:cantSplit/>
        </w:trPr>
        <w:tc>
          <w:tcPr>
            <w:tcW w:type="dxa" w:w="2541"/>
            <w:tcMar>
              <w:top w:w="55" w:type="dxa"/>
              <w:start w:w="55" w:type="dxa"/>
              <w:bottom w:w="55" w:type="dxa"/>
              <w:end w:w="55" w:type="dxa"/>
            </w:tcMar>
            <w:vAlign w:val="center"/>
          </w:tcPr>
          <w:p>
            <w:pPr>
              <w:spacing w:after="0"/>
            </w:pPr>
            <w:r>
              <w:rPr>
                <w:rFonts w:ascii="Cambria" w:hAnsi="Cambria"/>
                <w:b w:val="0"/>
                <w:i w:val="0"/>
                <w:color w:val="262626"/>
                <w:sz w:val="14"/>
              </w:rPr>
              <w:t>ZT-T09</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4"/>
              </w:rPr>
              <w:t>Segmentation with known dependency</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4"/>
              </w:rPr>
              <w:t>Required flows continue; unapproved lateral paths blocked</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4"/>
              </w:rPr>
              <w:t>Each segmentation wave</w:t>
            </w:r>
          </w:p>
        </w:tc>
      </w:tr>
      <w:tr>
        <w:trPr>
          <w:cantSplit/>
        </w:trPr>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4"/>
              </w:rPr>
              <w:t>ZT-T10</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4"/>
              </w:rPr>
              <w:t>DR failover with policy continuity</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4"/>
              </w:rPr>
              <w:t>Identity, segmentation, logging, and access policy remain effective</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4"/>
              </w:rPr>
              <w:t>At least annually</w:t>
            </w:r>
          </w:p>
        </w:tc>
      </w:tr>
    </w:tbl>
    <w:p>
      <w:pPr>
        <w:pStyle w:val="Heading1"/>
      </w:pPr>
      <w:r>
        <w:t>9. Handover &amp; Operating Model Checklist</w:t>
      </w:r>
    </w:p>
    <w:p>
      <w:pPr>
        <w:spacing w:after="160"/>
      </w:pPr>
      <w:r>
        <w:rPr>
          <w:rFonts w:ascii="Cambria" w:hAnsi="Cambria"/>
          <w:b w:val="0"/>
          <w:i w:val="0"/>
          <w:color w:val="262626"/>
          <w:sz w:val="21"/>
        </w:rPr>
        <w:t>Use before implementation teams or vendors leave the engagement.</w:t>
      </w:r>
    </w:p>
    <w:p>
      <w:pPr>
        <w:spacing w:before="200" w:after="20"/>
        <w:ind w:left="220"/>
      </w:pPr>
      <w:r>
        <w:rPr>
          <w:rFonts w:ascii="Cambria" w:hAnsi="Cambria"/>
          <w:b/>
          <w:i w:val="0"/>
          <w:color w:val="262626"/>
          <w:sz w:val="21"/>
        </w:rPr>
        <w:t>How this template complements SP 1800-35.</w:t>
      </w:r>
    </w:p>
    <w:p>
      <w:pPr>
        <w:spacing w:before="20" w:after="140"/>
        <w:ind w:left="220"/>
      </w:pPr>
      <w:r>
        <w:rPr>
          <w:rFonts w:ascii="Cambria" w:hAnsi="Cambria"/>
          <w:b w:val="0"/>
          <w:i/>
          <w:color w:val="262626"/>
          <w:sz w:val="19"/>
        </w:rPr>
        <w:t>The checklist treats internal operating capability as part of security readiness rather than as end-of-project paperwork.  Alignment: SP 1800-35 Section 2.2 (skills/training challenges) and Section 8.7 (continuous improvement).</w:t>
      </w:r>
    </w:p>
    <w:p>
      <w:pPr>
        <w:pStyle w:val="Heading2"/>
      </w:pPr>
      <w:r>
        <w:rPr>
          <w:rFonts w:ascii="Cambria" w:hAnsi="Cambria"/>
          <w:b/>
          <w:i w:val="0"/>
          <w:color w:val="262626"/>
          <w:sz w:val="25"/>
        </w:rPr>
        <w:t>Architecture &amp; Configuration</w:t>
      </w:r>
    </w:p>
    <w:p>
      <w:pPr>
        <w:spacing w:after="40"/>
        <w:ind w:left="216"/>
      </w:pPr>
      <w:r>
        <w:rPr>
          <w:rFonts w:ascii="Cambria" w:hAnsi="Cambria"/>
          <w:b w:val="0"/>
          <w:i w:val="0"/>
          <w:color w:val="262626"/>
          <w:sz w:val="20"/>
        </w:rPr>
        <w:t xml:space="preserve">☐ </w:t>
      </w:r>
      <w:r>
        <w:rPr>
          <w:rFonts w:ascii="Cambria" w:hAnsi="Cambria"/>
          <w:b w:val="0"/>
          <w:i w:val="0"/>
          <w:color w:val="262626"/>
          <w:sz w:val="19"/>
        </w:rPr>
        <w:t>Current logical and physical architecture diagrams delivered.</w:t>
      </w:r>
    </w:p>
    <w:p>
      <w:pPr>
        <w:spacing w:after="40"/>
        <w:ind w:left="216"/>
      </w:pPr>
      <w:r>
        <w:rPr>
          <w:rFonts w:ascii="Cambria" w:hAnsi="Cambria"/>
          <w:b w:val="0"/>
          <w:i w:val="0"/>
          <w:color w:val="262626"/>
          <w:sz w:val="20"/>
        </w:rPr>
        <w:t xml:space="preserve">☐ </w:t>
      </w:r>
      <w:r>
        <w:rPr>
          <w:rFonts w:ascii="Cambria" w:hAnsi="Cambria"/>
          <w:b w:val="0"/>
          <w:i w:val="0"/>
          <w:color w:val="262626"/>
          <w:sz w:val="19"/>
        </w:rPr>
        <w:t>Trust boundaries and enforcement points documented.</w:t>
      </w:r>
    </w:p>
    <w:p>
      <w:pPr>
        <w:spacing w:after="40"/>
        <w:ind w:left="216"/>
      </w:pPr>
      <w:r>
        <w:rPr>
          <w:rFonts w:ascii="Cambria" w:hAnsi="Cambria"/>
          <w:b w:val="0"/>
          <w:i w:val="0"/>
          <w:color w:val="262626"/>
          <w:sz w:val="20"/>
        </w:rPr>
        <w:t xml:space="preserve">☐ </w:t>
      </w:r>
      <w:r>
        <w:rPr>
          <w:rFonts w:ascii="Cambria" w:hAnsi="Cambria"/>
          <w:b w:val="0"/>
          <w:i w:val="0"/>
          <w:color w:val="262626"/>
          <w:sz w:val="19"/>
        </w:rPr>
        <w:t>Identity, authentication, and authorization flows documented.</w:t>
      </w:r>
    </w:p>
    <w:p>
      <w:pPr>
        <w:spacing w:after="40"/>
        <w:ind w:left="216"/>
      </w:pPr>
      <w:r>
        <w:rPr>
          <w:rFonts w:ascii="Cambria" w:hAnsi="Cambria"/>
          <w:b w:val="0"/>
          <w:i w:val="0"/>
          <w:color w:val="262626"/>
          <w:sz w:val="20"/>
        </w:rPr>
        <w:t xml:space="preserve">☐ </w:t>
      </w:r>
      <w:r>
        <w:rPr>
          <w:rFonts w:ascii="Cambria" w:hAnsi="Cambria"/>
          <w:b w:val="0"/>
          <w:i w:val="0"/>
          <w:color w:val="262626"/>
          <w:sz w:val="19"/>
        </w:rPr>
        <w:t>Network segmentation and permitted dependencies documented.</w:t>
      </w:r>
    </w:p>
    <w:p>
      <w:pPr>
        <w:spacing w:after="40"/>
        <w:ind w:left="216"/>
      </w:pPr>
      <w:r>
        <w:rPr>
          <w:rFonts w:ascii="Cambria" w:hAnsi="Cambria"/>
          <w:b w:val="0"/>
          <w:i w:val="0"/>
          <w:color w:val="262626"/>
          <w:sz w:val="20"/>
        </w:rPr>
        <w:t xml:space="preserve">☐ </w:t>
      </w:r>
      <w:r>
        <w:rPr>
          <w:rFonts w:ascii="Cambria" w:hAnsi="Cambria"/>
          <w:b w:val="0"/>
          <w:i w:val="0"/>
          <w:color w:val="262626"/>
          <w:sz w:val="19"/>
        </w:rPr>
        <w:t>Infrastructure-as-code repository and deployment instructions handed over.</w:t>
      </w:r>
    </w:p>
    <w:p>
      <w:pPr>
        <w:spacing w:after="40"/>
        <w:ind w:left="216"/>
      </w:pPr>
      <w:r>
        <w:rPr>
          <w:rFonts w:ascii="Cambria" w:hAnsi="Cambria"/>
          <w:b w:val="0"/>
          <w:i w:val="0"/>
          <w:color w:val="262626"/>
          <w:sz w:val="20"/>
        </w:rPr>
        <w:t xml:space="preserve">☐ </w:t>
      </w:r>
      <w:r>
        <w:rPr>
          <w:rFonts w:ascii="Cambria" w:hAnsi="Cambria"/>
          <w:b w:val="0"/>
          <w:i w:val="0"/>
          <w:color w:val="262626"/>
          <w:sz w:val="19"/>
        </w:rPr>
        <w:t>Configuration baselines and approved deviations recorded.</w:t>
      </w:r>
    </w:p>
    <w:p>
      <w:pPr>
        <w:pStyle w:val="Heading2"/>
      </w:pPr>
      <w:r>
        <w:rPr>
          <w:rFonts w:ascii="Cambria" w:hAnsi="Cambria"/>
          <w:b/>
          <w:i w:val="0"/>
          <w:color w:val="262626"/>
          <w:sz w:val="25"/>
        </w:rPr>
        <w:t>Identity &amp; Access</w:t>
      </w:r>
    </w:p>
    <w:p>
      <w:pPr>
        <w:spacing w:after="40"/>
        <w:ind w:left="216"/>
      </w:pPr>
      <w:r>
        <w:rPr>
          <w:rFonts w:ascii="Cambria" w:hAnsi="Cambria"/>
          <w:b w:val="0"/>
          <w:i w:val="0"/>
          <w:color w:val="262626"/>
          <w:sz w:val="20"/>
        </w:rPr>
        <w:t xml:space="preserve">☐ </w:t>
      </w:r>
      <w:r>
        <w:rPr>
          <w:rFonts w:ascii="Cambria" w:hAnsi="Cambria"/>
          <w:b w:val="0"/>
          <w:i w:val="0"/>
          <w:color w:val="262626"/>
          <w:sz w:val="19"/>
        </w:rPr>
        <w:t>Privileged roles reviewed and named owners assigned.</w:t>
      </w:r>
    </w:p>
    <w:p>
      <w:pPr>
        <w:spacing w:after="40"/>
        <w:ind w:left="216"/>
      </w:pPr>
      <w:r>
        <w:rPr>
          <w:rFonts w:ascii="Cambria" w:hAnsi="Cambria"/>
          <w:b w:val="0"/>
          <w:i w:val="0"/>
          <w:color w:val="262626"/>
          <w:sz w:val="20"/>
        </w:rPr>
        <w:t xml:space="preserve">☐ </w:t>
      </w:r>
      <w:r>
        <w:rPr>
          <w:rFonts w:ascii="Cambria" w:hAnsi="Cambria"/>
          <w:b w:val="0"/>
          <w:i w:val="0"/>
          <w:color w:val="262626"/>
          <w:sz w:val="19"/>
        </w:rPr>
        <w:t>Service accounts inventoried and ownership assigned.</w:t>
      </w:r>
    </w:p>
    <w:p>
      <w:pPr>
        <w:spacing w:after="40"/>
        <w:ind w:left="216"/>
      </w:pPr>
      <w:r>
        <w:rPr>
          <w:rFonts w:ascii="Cambria" w:hAnsi="Cambria"/>
          <w:b w:val="0"/>
          <w:i w:val="0"/>
          <w:color w:val="262626"/>
          <w:sz w:val="20"/>
        </w:rPr>
        <w:t xml:space="preserve">☐ </w:t>
      </w:r>
      <w:r>
        <w:rPr>
          <w:rFonts w:ascii="Cambria" w:hAnsi="Cambria"/>
          <w:b w:val="0"/>
          <w:i w:val="0"/>
          <w:color w:val="262626"/>
          <w:sz w:val="19"/>
        </w:rPr>
        <w:t>Legacy authentication exceptions listed with retirement dates.</w:t>
      </w:r>
    </w:p>
    <w:p>
      <w:pPr>
        <w:spacing w:after="40"/>
        <w:ind w:left="216"/>
      </w:pPr>
      <w:r>
        <w:rPr>
          <w:rFonts w:ascii="Cambria" w:hAnsi="Cambria"/>
          <w:b w:val="0"/>
          <w:i w:val="0"/>
          <w:color w:val="262626"/>
          <w:sz w:val="20"/>
        </w:rPr>
        <w:t xml:space="preserve">☐ </w:t>
      </w:r>
      <w:r>
        <w:rPr>
          <w:rFonts w:ascii="Cambria" w:hAnsi="Cambria"/>
          <w:b w:val="0"/>
          <w:i w:val="0"/>
          <w:color w:val="262626"/>
          <w:sz w:val="19"/>
        </w:rPr>
        <w:t>Break-glass / emergency access process tested.</w:t>
      </w:r>
    </w:p>
    <w:p>
      <w:pPr>
        <w:spacing w:after="40"/>
        <w:ind w:left="216"/>
      </w:pPr>
      <w:r>
        <w:rPr>
          <w:rFonts w:ascii="Cambria" w:hAnsi="Cambria"/>
          <w:b w:val="0"/>
          <w:i w:val="0"/>
          <w:color w:val="262626"/>
          <w:sz w:val="20"/>
        </w:rPr>
        <w:t xml:space="preserve">☐ </w:t>
      </w:r>
      <w:r>
        <w:rPr>
          <w:rFonts w:ascii="Cambria" w:hAnsi="Cambria"/>
          <w:b w:val="0"/>
          <w:i w:val="0"/>
          <w:color w:val="262626"/>
          <w:sz w:val="19"/>
        </w:rPr>
        <w:t>Recurring access review schedule established.</w:t>
      </w:r>
    </w:p>
    <w:p>
      <w:pPr>
        <w:pStyle w:val="Heading2"/>
      </w:pPr>
      <w:r>
        <w:rPr>
          <w:rFonts w:ascii="Cambria" w:hAnsi="Cambria"/>
          <w:b/>
          <w:i w:val="0"/>
          <w:color w:val="262626"/>
          <w:sz w:val="25"/>
        </w:rPr>
        <w:t>Monitoring &amp; Security Operations</w:t>
      </w:r>
    </w:p>
    <w:p>
      <w:pPr>
        <w:spacing w:after="40"/>
        <w:ind w:left="216"/>
      </w:pPr>
      <w:r>
        <w:rPr>
          <w:rFonts w:ascii="Cambria" w:hAnsi="Cambria"/>
          <w:b w:val="0"/>
          <w:i w:val="0"/>
          <w:color w:val="262626"/>
          <w:sz w:val="20"/>
        </w:rPr>
        <w:t xml:space="preserve">☐ </w:t>
      </w:r>
      <w:r>
        <w:rPr>
          <w:rFonts w:ascii="Cambria" w:hAnsi="Cambria"/>
          <w:b w:val="0"/>
          <w:i w:val="0"/>
          <w:color w:val="262626"/>
          <w:sz w:val="19"/>
        </w:rPr>
        <w:t>Required log sources connected and validated.</w:t>
      </w:r>
    </w:p>
    <w:p>
      <w:pPr>
        <w:spacing w:after="40"/>
        <w:ind w:left="216"/>
      </w:pPr>
      <w:r>
        <w:rPr>
          <w:rFonts w:ascii="Cambria" w:hAnsi="Cambria"/>
          <w:b w:val="0"/>
          <w:i w:val="0"/>
          <w:color w:val="262626"/>
          <w:sz w:val="20"/>
        </w:rPr>
        <w:t xml:space="preserve">☐ </w:t>
      </w:r>
      <w:r>
        <w:rPr>
          <w:rFonts w:ascii="Cambria" w:hAnsi="Cambria"/>
          <w:b w:val="0"/>
          <w:i w:val="0"/>
          <w:color w:val="262626"/>
          <w:sz w:val="19"/>
        </w:rPr>
        <w:t>Alert ownership and escalation paths documented.</w:t>
      </w:r>
    </w:p>
    <w:p>
      <w:pPr>
        <w:spacing w:after="40"/>
        <w:ind w:left="216"/>
      </w:pPr>
      <w:r>
        <w:rPr>
          <w:rFonts w:ascii="Cambria" w:hAnsi="Cambria"/>
          <w:b w:val="0"/>
          <w:i w:val="0"/>
          <w:color w:val="262626"/>
          <w:sz w:val="20"/>
        </w:rPr>
        <w:t xml:space="preserve">☐ </w:t>
      </w:r>
      <w:r>
        <w:rPr>
          <w:rFonts w:ascii="Cambria" w:hAnsi="Cambria"/>
          <w:b w:val="0"/>
          <w:i w:val="0"/>
          <w:color w:val="262626"/>
          <w:sz w:val="19"/>
        </w:rPr>
        <w:t>Relevant SIEM/SOAR use cases validated.</w:t>
      </w:r>
    </w:p>
    <w:p>
      <w:pPr>
        <w:spacing w:after="40"/>
        <w:ind w:left="216"/>
      </w:pPr>
      <w:r>
        <w:rPr>
          <w:rFonts w:ascii="Cambria" w:hAnsi="Cambria"/>
          <w:b w:val="0"/>
          <w:i w:val="0"/>
          <w:color w:val="262626"/>
          <w:sz w:val="20"/>
        </w:rPr>
        <w:t xml:space="preserve">☐ </w:t>
      </w:r>
      <w:r>
        <w:rPr>
          <w:rFonts w:ascii="Cambria" w:hAnsi="Cambria"/>
          <w:b w:val="0"/>
          <w:i w:val="0"/>
          <w:color w:val="262626"/>
          <w:sz w:val="19"/>
        </w:rPr>
        <w:t>Vulnerability scanning coverage confirmed.</w:t>
      </w:r>
    </w:p>
    <w:p>
      <w:pPr>
        <w:spacing w:after="40"/>
        <w:ind w:left="216"/>
      </w:pPr>
      <w:r>
        <w:rPr>
          <w:rFonts w:ascii="Cambria" w:hAnsi="Cambria"/>
          <w:b w:val="0"/>
          <w:i w:val="0"/>
          <w:color w:val="262626"/>
          <w:sz w:val="20"/>
        </w:rPr>
        <w:t xml:space="preserve">☐ </w:t>
      </w:r>
      <w:r>
        <w:rPr>
          <w:rFonts w:ascii="Cambria" w:hAnsi="Cambria"/>
          <w:b w:val="0"/>
          <w:i w:val="0"/>
          <w:color w:val="262626"/>
          <w:sz w:val="19"/>
        </w:rPr>
        <w:t>Reusable security validation test suite stored in an accessible repository.</w:t>
      </w:r>
    </w:p>
    <w:p>
      <w:pPr>
        <w:pStyle w:val="Heading2"/>
      </w:pPr>
      <w:r>
        <w:rPr>
          <w:rFonts w:ascii="Cambria" w:hAnsi="Cambria"/>
          <w:b/>
          <w:i w:val="0"/>
          <w:color w:val="262626"/>
          <w:sz w:val="25"/>
        </w:rPr>
        <w:t>Backup, DR &amp; Recovery</w:t>
      </w:r>
    </w:p>
    <w:p>
      <w:pPr>
        <w:spacing w:after="40"/>
        <w:ind w:left="216"/>
      </w:pPr>
      <w:r>
        <w:rPr>
          <w:rFonts w:ascii="Cambria" w:hAnsi="Cambria"/>
          <w:b w:val="0"/>
          <w:i w:val="0"/>
          <w:color w:val="262626"/>
          <w:sz w:val="20"/>
        </w:rPr>
        <w:t xml:space="preserve">☐ </w:t>
      </w:r>
      <w:r>
        <w:rPr>
          <w:rFonts w:ascii="Cambria" w:hAnsi="Cambria"/>
          <w:b w:val="0"/>
          <w:i w:val="0"/>
          <w:color w:val="262626"/>
          <w:sz w:val="19"/>
        </w:rPr>
        <w:t>Backup coverage confirmed for migrated workloads.</w:t>
      </w:r>
    </w:p>
    <w:p>
      <w:pPr>
        <w:spacing w:after="40"/>
        <w:ind w:left="216"/>
      </w:pPr>
      <w:r>
        <w:rPr>
          <w:rFonts w:ascii="Cambria" w:hAnsi="Cambria"/>
          <w:b w:val="0"/>
          <w:i w:val="0"/>
          <w:color w:val="262626"/>
          <w:sz w:val="20"/>
        </w:rPr>
        <w:t xml:space="preserve">☐ </w:t>
      </w:r>
      <w:r>
        <w:rPr>
          <w:rFonts w:ascii="Cambria" w:hAnsi="Cambria"/>
          <w:b w:val="0"/>
          <w:i w:val="0"/>
          <w:color w:val="262626"/>
          <w:sz w:val="19"/>
        </w:rPr>
        <w:t>Restore test completed.</w:t>
      </w:r>
    </w:p>
    <w:p>
      <w:pPr>
        <w:spacing w:after="40"/>
        <w:ind w:left="216"/>
      </w:pPr>
      <w:r>
        <w:rPr>
          <w:rFonts w:ascii="Cambria" w:hAnsi="Cambria"/>
          <w:b w:val="0"/>
          <w:i w:val="0"/>
          <w:color w:val="262626"/>
          <w:sz w:val="20"/>
        </w:rPr>
        <w:t xml:space="preserve">☐ </w:t>
      </w:r>
      <w:r>
        <w:rPr>
          <w:rFonts w:ascii="Cambria" w:hAnsi="Cambria"/>
          <w:b w:val="0"/>
          <w:i w:val="0"/>
          <w:color w:val="262626"/>
          <w:sz w:val="19"/>
        </w:rPr>
        <w:t>DR failover tested where applicable.</w:t>
      </w:r>
    </w:p>
    <w:p>
      <w:pPr>
        <w:spacing w:after="40"/>
        <w:ind w:left="216"/>
      </w:pPr>
      <w:r>
        <w:rPr>
          <w:rFonts w:ascii="Cambria" w:hAnsi="Cambria"/>
          <w:b w:val="0"/>
          <w:i w:val="0"/>
          <w:color w:val="262626"/>
          <w:sz w:val="20"/>
        </w:rPr>
        <w:t xml:space="preserve">☐ </w:t>
      </w:r>
      <w:r>
        <w:rPr>
          <w:rFonts w:ascii="Cambria" w:hAnsi="Cambria"/>
          <w:b w:val="0"/>
          <w:i w:val="0"/>
          <w:color w:val="262626"/>
          <w:sz w:val="19"/>
        </w:rPr>
        <w:t>Zero Trust policy continuity during DR validated.</w:t>
      </w:r>
    </w:p>
    <w:p>
      <w:pPr>
        <w:spacing w:after="40"/>
        <w:ind w:left="216"/>
      </w:pPr>
      <w:r>
        <w:rPr>
          <w:rFonts w:ascii="Cambria" w:hAnsi="Cambria"/>
          <w:b w:val="0"/>
          <w:i w:val="0"/>
          <w:color w:val="262626"/>
          <w:sz w:val="20"/>
        </w:rPr>
        <w:t xml:space="preserve">☐ </w:t>
      </w:r>
      <w:r>
        <w:rPr>
          <w:rFonts w:ascii="Cambria" w:hAnsi="Cambria"/>
          <w:b w:val="0"/>
          <w:i w:val="0"/>
          <w:color w:val="262626"/>
          <w:sz w:val="19"/>
        </w:rPr>
        <w:t>RPO/RTO assumptions confirmed with business owner.</w:t>
      </w:r>
    </w:p>
    <w:p>
      <w:pPr>
        <w:pStyle w:val="Heading2"/>
      </w:pPr>
      <w:r>
        <w:rPr>
          <w:rFonts w:ascii="Cambria" w:hAnsi="Cambria"/>
          <w:b/>
          <w:i w:val="0"/>
          <w:color w:val="262626"/>
          <w:sz w:val="25"/>
        </w:rPr>
        <w:t>Exceptions &amp; Residual Risk</w:t>
      </w:r>
    </w:p>
    <w:p>
      <w:pPr>
        <w:spacing w:after="40"/>
        <w:ind w:left="216"/>
      </w:pPr>
      <w:r>
        <w:rPr>
          <w:rFonts w:ascii="Cambria" w:hAnsi="Cambria"/>
          <w:b w:val="0"/>
          <w:i w:val="0"/>
          <w:color w:val="262626"/>
          <w:sz w:val="20"/>
        </w:rPr>
        <w:t xml:space="preserve">☐ </w:t>
      </w:r>
      <w:r>
        <w:rPr>
          <w:rFonts w:ascii="Cambria" w:hAnsi="Cambria"/>
          <w:b w:val="0"/>
          <w:i w:val="0"/>
          <w:color w:val="262626"/>
          <w:sz w:val="19"/>
        </w:rPr>
        <w:t>Open transition exceptions reviewed.</w:t>
      </w:r>
    </w:p>
    <w:p>
      <w:pPr>
        <w:spacing w:after="40"/>
        <w:ind w:left="216"/>
      </w:pPr>
      <w:r>
        <w:rPr>
          <w:rFonts w:ascii="Cambria" w:hAnsi="Cambria"/>
          <w:b w:val="0"/>
          <w:i w:val="0"/>
          <w:color w:val="262626"/>
          <w:sz w:val="20"/>
        </w:rPr>
        <w:t xml:space="preserve">☐ </w:t>
      </w:r>
      <w:r>
        <w:rPr>
          <w:rFonts w:ascii="Cambria" w:hAnsi="Cambria"/>
          <w:b w:val="0"/>
          <w:i w:val="0"/>
          <w:color w:val="262626"/>
          <w:sz w:val="19"/>
        </w:rPr>
        <w:t>Every exception has an owner and review/expiry date.</w:t>
      </w:r>
    </w:p>
    <w:p>
      <w:pPr>
        <w:spacing w:after="40"/>
        <w:ind w:left="216"/>
      </w:pPr>
      <w:r>
        <w:rPr>
          <w:rFonts w:ascii="Cambria" w:hAnsi="Cambria"/>
          <w:b w:val="0"/>
          <w:i w:val="0"/>
          <w:color w:val="262626"/>
          <w:sz w:val="20"/>
        </w:rPr>
        <w:t xml:space="preserve">☐ </w:t>
      </w:r>
      <w:r>
        <w:rPr>
          <w:rFonts w:ascii="Cambria" w:hAnsi="Cambria"/>
          <w:b w:val="0"/>
          <w:i w:val="0"/>
          <w:color w:val="262626"/>
          <w:sz w:val="19"/>
        </w:rPr>
        <w:t>Compensating controls are documented.</w:t>
      </w:r>
    </w:p>
    <w:p>
      <w:pPr>
        <w:spacing w:after="40"/>
        <w:ind w:left="216"/>
      </w:pPr>
      <w:r>
        <w:rPr>
          <w:rFonts w:ascii="Cambria" w:hAnsi="Cambria"/>
          <w:b w:val="0"/>
          <w:i w:val="0"/>
          <w:color w:val="262626"/>
          <w:sz w:val="20"/>
        </w:rPr>
        <w:t xml:space="preserve">☐ </w:t>
      </w:r>
      <w:r>
        <w:rPr>
          <w:rFonts w:ascii="Cambria" w:hAnsi="Cambria"/>
          <w:b w:val="0"/>
          <w:i w:val="0"/>
          <w:color w:val="262626"/>
          <w:sz w:val="19"/>
        </w:rPr>
        <w:t>Retirement conditions are measurable.</w:t>
      </w:r>
    </w:p>
    <w:p>
      <w:pPr>
        <w:spacing w:after="40"/>
        <w:ind w:left="216"/>
      </w:pPr>
      <w:r>
        <w:rPr>
          <w:rFonts w:ascii="Cambria" w:hAnsi="Cambria"/>
          <w:b w:val="0"/>
          <w:i w:val="0"/>
          <w:color w:val="262626"/>
          <w:sz w:val="20"/>
        </w:rPr>
        <w:t xml:space="preserve">☐ </w:t>
      </w:r>
      <w:r>
        <w:rPr>
          <w:rFonts w:ascii="Cambria" w:hAnsi="Cambria"/>
          <w:b w:val="0"/>
          <w:i w:val="0"/>
          <w:color w:val="262626"/>
          <w:sz w:val="19"/>
        </w:rPr>
        <w:t>Residual risk has documented acceptance where required.</w:t>
      </w:r>
    </w:p>
    <w:p>
      <w:pPr>
        <w:pStyle w:val="Heading2"/>
      </w:pPr>
      <w:r>
        <w:rPr>
          <w:rFonts w:ascii="Cambria" w:hAnsi="Cambria"/>
          <w:b/>
          <w:i w:val="0"/>
          <w:color w:val="262626"/>
          <w:sz w:val="25"/>
        </w:rPr>
        <w:t>Operational Readiness</w:t>
      </w:r>
    </w:p>
    <w:p>
      <w:pPr>
        <w:spacing w:after="40"/>
        <w:ind w:left="216"/>
      </w:pPr>
      <w:r>
        <w:rPr>
          <w:rFonts w:ascii="Cambria" w:hAnsi="Cambria"/>
          <w:b w:val="0"/>
          <w:i w:val="0"/>
          <w:color w:val="262626"/>
          <w:sz w:val="20"/>
        </w:rPr>
        <w:t xml:space="preserve">☐ </w:t>
      </w:r>
      <w:r>
        <w:rPr>
          <w:rFonts w:ascii="Cambria" w:hAnsi="Cambria"/>
          <w:b w:val="0"/>
          <w:i w:val="0"/>
          <w:color w:val="262626"/>
          <w:sz w:val="19"/>
        </w:rPr>
        <w:t>Runbooks cover routine operations.</w:t>
      </w:r>
    </w:p>
    <w:p>
      <w:pPr>
        <w:spacing w:after="40"/>
        <w:ind w:left="216"/>
      </w:pPr>
      <w:r>
        <w:rPr>
          <w:rFonts w:ascii="Cambria" w:hAnsi="Cambria"/>
          <w:b w:val="0"/>
          <w:i w:val="0"/>
          <w:color w:val="262626"/>
          <w:sz w:val="20"/>
        </w:rPr>
        <w:t xml:space="preserve">☐ </w:t>
      </w:r>
      <w:r>
        <w:rPr>
          <w:rFonts w:ascii="Cambria" w:hAnsi="Cambria"/>
          <w:b w:val="0"/>
          <w:i w:val="0"/>
          <w:color w:val="262626"/>
          <w:sz w:val="19"/>
        </w:rPr>
        <w:t>Rollback procedures are current.</w:t>
      </w:r>
    </w:p>
    <w:p>
      <w:pPr>
        <w:spacing w:after="40"/>
        <w:ind w:left="216"/>
      </w:pPr>
      <w:r>
        <w:rPr>
          <w:rFonts w:ascii="Cambria" w:hAnsi="Cambria"/>
          <w:b w:val="0"/>
          <w:i w:val="0"/>
          <w:color w:val="262626"/>
          <w:sz w:val="20"/>
        </w:rPr>
        <w:t xml:space="preserve">☐ </w:t>
      </w:r>
      <w:r>
        <w:rPr>
          <w:rFonts w:ascii="Cambria" w:hAnsi="Cambria"/>
          <w:b w:val="0"/>
          <w:i w:val="0"/>
          <w:color w:val="262626"/>
          <w:sz w:val="19"/>
        </w:rPr>
        <w:t>Internal team completed training.</w:t>
      </w:r>
    </w:p>
    <w:p>
      <w:pPr>
        <w:spacing w:after="40"/>
        <w:ind w:left="216"/>
      </w:pPr>
      <w:r>
        <w:rPr>
          <w:rFonts w:ascii="Cambria" w:hAnsi="Cambria"/>
          <w:b w:val="0"/>
          <w:i w:val="0"/>
          <w:color w:val="262626"/>
          <w:sz w:val="20"/>
        </w:rPr>
        <w:t xml:space="preserve">☐ </w:t>
      </w:r>
      <w:r>
        <w:rPr>
          <w:rFonts w:ascii="Cambria" w:hAnsi="Cambria"/>
          <w:b w:val="0"/>
          <w:i w:val="0"/>
          <w:color w:val="262626"/>
          <w:sz w:val="19"/>
        </w:rPr>
        <w:t>Internal team performed at least one supervised operational task.</w:t>
      </w:r>
    </w:p>
    <w:p>
      <w:pPr>
        <w:spacing w:after="40"/>
        <w:ind w:left="216"/>
      </w:pPr>
      <w:r>
        <w:rPr>
          <w:rFonts w:ascii="Cambria" w:hAnsi="Cambria"/>
          <w:b w:val="0"/>
          <w:i w:val="0"/>
          <w:color w:val="262626"/>
          <w:sz w:val="20"/>
        </w:rPr>
        <w:t xml:space="preserve">☐ </w:t>
      </w:r>
      <w:r>
        <w:rPr>
          <w:rFonts w:ascii="Cambria" w:hAnsi="Cambria"/>
          <w:b w:val="0"/>
          <w:i w:val="0"/>
          <w:color w:val="262626"/>
          <w:sz w:val="19"/>
        </w:rPr>
        <w:t>Internal team can explain architecture and escalation paths without the implementer.</w:t>
      </w:r>
    </w:p>
    <w:p>
      <w:pPr>
        <w:spacing w:after="40"/>
        <w:ind w:left="216"/>
      </w:pPr>
      <w:r>
        <w:rPr>
          <w:rFonts w:ascii="Cambria" w:hAnsi="Cambria"/>
          <w:b w:val="0"/>
          <w:i w:val="0"/>
          <w:color w:val="262626"/>
          <w:sz w:val="20"/>
        </w:rPr>
        <w:t xml:space="preserve">☐ </w:t>
      </w:r>
      <w:r>
        <w:rPr>
          <w:rFonts w:ascii="Cambria" w:hAnsi="Cambria"/>
          <w:b w:val="0"/>
          <w:i w:val="0"/>
          <w:color w:val="262626"/>
          <w:sz w:val="19"/>
        </w:rPr>
        <w:t>30/60/90-day assurance reviews are scheduled.</w:t>
      </w:r>
    </w:p>
    <w:p>
      <w:pPr>
        <w:pStyle w:val="Heading1"/>
      </w:pPr>
      <w:r>
        <w:t>10. 30/60/90-Day Post-Migration Assurance Review</w:t>
      </w:r>
    </w:p>
    <w:p>
      <w:pPr>
        <w:spacing w:after="160"/>
      </w:pPr>
      <w:r>
        <w:rPr>
          <w:rFonts w:ascii="Cambria" w:hAnsi="Cambria"/>
          <w:b w:val="0"/>
          <w:i w:val="0"/>
          <w:color w:val="262626"/>
          <w:sz w:val="21"/>
        </w:rPr>
        <w:t>A lightweight mechanism to verify that transition controls remain effective after go-live and handover.</w:t>
      </w:r>
    </w:p>
    <w:tbl>
      <w:tblPr>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6"/>
              </w:rPr>
              <w:t>Review Point</w:t>
            </w:r>
          </w:p>
        </w:tc>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6"/>
              </w:rPr>
              <w:t>Primary Questions</w:t>
            </w:r>
          </w:p>
        </w:tc>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6"/>
              </w:rPr>
              <w:t>Evidence</w:t>
            </w:r>
          </w:p>
        </w:tc>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6"/>
              </w:rPr>
              <w:t>Owner / Decision</w:t>
            </w:r>
          </w:p>
        </w:tc>
      </w:tr>
      <w:tr>
        <w:trPr>
          <w:cantSplit/>
        </w:trPr>
        <w:tc>
          <w:tcPr>
            <w:tcW w:type="dxa" w:w="2541"/>
            <w:tcMar>
              <w:top w:w="55" w:type="dxa"/>
              <w:start w:w="55" w:type="dxa"/>
              <w:bottom w:w="55" w:type="dxa"/>
              <w:end w:w="55" w:type="dxa"/>
            </w:tcMar>
            <w:vAlign w:val="center"/>
          </w:tcPr>
          <w:p>
            <w:pPr>
              <w:spacing w:after="0"/>
            </w:pPr>
            <w:r>
              <w:rPr>
                <w:rFonts w:ascii="Cambria" w:hAnsi="Cambria"/>
                <w:b w:val="0"/>
                <w:i w:val="0"/>
                <w:color w:val="262626"/>
                <w:sz w:val="16"/>
              </w:rPr>
              <w:t>Day 30</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6"/>
              </w:rPr>
              <w:t>Are temporary exceptions still necessary? Are logs complete? Can operators follow runbooks?</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6"/>
              </w:rPr>
              <w:t>Exception register, SIEM source status, operational tickets</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6"/>
              </w:rPr>
            </w:r>
          </w:p>
        </w:tc>
      </w:tr>
      <w:tr>
        <w:trPr>
          <w:cantSplit/>
        </w:trPr>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6"/>
              </w:rPr>
              <w:t>Day 60</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6"/>
              </w:rPr>
              <w:t>Have dependency or access assumptions changed? Are recurring reviews occurring? Are unresolved gaps decreasing?</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6"/>
              </w:rPr>
              <w:t>Access review, network-flow validation, risk register trend</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6"/>
              </w:rPr>
            </w:r>
          </w:p>
        </w:tc>
      </w:tr>
      <w:tr>
        <w:trPr>
          <w:cantSplit/>
        </w:trPr>
        <w:tc>
          <w:tcPr>
            <w:tcW w:type="dxa" w:w="2541"/>
            <w:tcMar>
              <w:top w:w="55" w:type="dxa"/>
              <w:start w:w="55" w:type="dxa"/>
              <w:bottom w:w="55" w:type="dxa"/>
              <w:end w:w="55" w:type="dxa"/>
            </w:tcMar>
            <w:vAlign w:val="center"/>
          </w:tcPr>
          <w:p>
            <w:pPr>
              <w:spacing w:after="0"/>
            </w:pPr>
            <w:r>
              <w:rPr>
                <w:rFonts w:ascii="Cambria" w:hAnsi="Cambria"/>
                <w:b w:val="0"/>
                <w:i w:val="0"/>
                <w:color w:val="262626"/>
                <w:sz w:val="16"/>
              </w:rPr>
              <w:t>Day 90</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6"/>
              </w:rPr>
              <w:t>Can remaining legacy paths be retired? Has the internal team operated independently? Are residual risks formally accepted or remediated?</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6"/>
              </w:rPr>
              <w:t>Closure tickets, training/handover evidence, risk acceptance</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6"/>
              </w:rPr>
            </w:r>
          </w:p>
        </w:tc>
      </w:tr>
    </w:tbl>
    <w:p>
      <w:pPr>
        <w:pStyle w:val="Heading2"/>
      </w:pPr>
      <w:r>
        <w:rPr>
          <w:rFonts w:ascii="Cambria" w:hAnsi="Cambria"/>
          <w:b/>
          <w:i w:val="0"/>
          <w:color w:val="262626"/>
          <w:sz w:val="25"/>
        </w:rPr>
        <w:t>Assurance Review Record</w:t>
      </w:r>
    </w:p>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Organization / scope</w:t>
            </w:r>
          </w:p>
        </w:tc>
        <w:tc>
          <w:tcPr>
            <w:tcW w:type="dxa" w:w="5083"/>
            <w:tcMar>
              <w:top w:w="40" w:type="dxa"/>
              <w:start w:w="60" w:type="dxa"/>
              <w:bottom w:w="40" w:type="dxa"/>
              <w:end w:w="60" w:type="dxa"/>
            </w:tcMar>
            <w:shd w:fill="F5F3EF"/>
          </w:tcPr>
          <w:p>
            <w:r>
              <w:rPr>
                <w:rFonts w:ascii="Cambria" w:hAnsi="Cambria"/>
                <w:b w:val="0"/>
                <w:i w:val="0"/>
                <w:color w:val="6B6459"/>
                <w:sz w:val="19"/>
              </w:rPr>
              <w:t>[complete during review]</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Review date</w:t>
            </w:r>
          </w:p>
        </w:tc>
        <w:tc>
          <w:tcPr>
            <w:tcW w:type="dxa" w:w="5083"/>
            <w:tcMar>
              <w:top w:w="40" w:type="dxa"/>
              <w:start w:w="60" w:type="dxa"/>
              <w:bottom w:w="40" w:type="dxa"/>
              <w:end w:w="60" w:type="dxa"/>
            </w:tcMar>
            <w:shd w:fill="F5F3EF"/>
          </w:tcPr>
          <w:p>
            <w:r>
              <w:rPr>
                <w:rFonts w:ascii="Cambria" w:hAnsi="Cambria"/>
                <w:b w:val="0"/>
                <w:i w:val="0"/>
                <w:color w:val="6B6459"/>
                <w:sz w:val="19"/>
              </w:rPr>
              <w:t>[complete during review]</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Review point (30 / 60 / 90)</w:t>
            </w:r>
          </w:p>
        </w:tc>
        <w:tc>
          <w:tcPr>
            <w:tcW w:type="dxa" w:w="5083"/>
            <w:tcMar>
              <w:top w:w="40" w:type="dxa"/>
              <w:start w:w="60" w:type="dxa"/>
              <w:bottom w:w="40" w:type="dxa"/>
              <w:end w:w="60" w:type="dxa"/>
            </w:tcMar>
            <w:shd w:fill="F5F3EF"/>
          </w:tcPr>
          <w:p>
            <w:r>
              <w:rPr>
                <w:rFonts w:ascii="Cambria" w:hAnsi="Cambria"/>
                <w:b w:val="0"/>
                <w:i w:val="0"/>
                <w:color w:val="6B6459"/>
                <w:sz w:val="19"/>
              </w:rPr>
              <w:t>[complete during review]</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Open transition risks</w:t>
            </w:r>
          </w:p>
        </w:tc>
        <w:tc>
          <w:tcPr>
            <w:tcW w:type="dxa" w:w="5083"/>
            <w:tcMar>
              <w:top w:w="40" w:type="dxa"/>
              <w:start w:w="60" w:type="dxa"/>
              <w:bottom w:w="40" w:type="dxa"/>
              <w:end w:w="60" w:type="dxa"/>
            </w:tcMar>
            <w:shd w:fill="F5F3EF"/>
          </w:tcPr>
          <w:p>
            <w:r>
              <w:rPr>
                <w:rFonts w:ascii="Cambria" w:hAnsi="Cambria"/>
                <w:b w:val="0"/>
                <w:i w:val="0"/>
                <w:color w:val="6B6459"/>
                <w:sz w:val="19"/>
              </w:rPr>
              <w:t>[complete during review]</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Exceptions closed since prior review</w:t>
            </w:r>
          </w:p>
        </w:tc>
        <w:tc>
          <w:tcPr>
            <w:tcW w:type="dxa" w:w="5083"/>
            <w:tcMar>
              <w:top w:w="40" w:type="dxa"/>
              <w:start w:w="60" w:type="dxa"/>
              <w:bottom w:w="40" w:type="dxa"/>
              <w:end w:w="60" w:type="dxa"/>
            </w:tcMar>
            <w:shd w:fill="F5F3EF"/>
          </w:tcPr>
          <w:p>
            <w:r>
              <w:rPr>
                <w:rFonts w:ascii="Cambria" w:hAnsi="Cambria"/>
                <w:b w:val="0"/>
                <w:i w:val="0"/>
                <w:color w:val="6B6459"/>
                <w:sz w:val="19"/>
              </w:rPr>
              <w:t>[complete during review]</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New risks discovered</w:t>
            </w:r>
          </w:p>
        </w:tc>
        <w:tc>
          <w:tcPr>
            <w:tcW w:type="dxa" w:w="5083"/>
            <w:tcMar>
              <w:top w:w="40" w:type="dxa"/>
              <w:start w:w="60" w:type="dxa"/>
              <w:bottom w:w="40" w:type="dxa"/>
              <w:end w:w="60" w:type="dxa"/>
            </w:tcMar>
            <w:shd w:fill="F5F3EF"/>
          </w:tcPr>
          <w:p>
            <w:r>
              <w:rPr>
                <w:rFonts w:ascii="Cambria" w:hAnsi="Cambria"/>
                <w:b w:val="0"/>
                <w:i w:val="0"/>
                <w:color w:val="6B6459"/>
                <w:sz w:val="19"/>
              </w:rPr>
              <w:t>[complete during review]</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Validation tests rerun</w:t>
            </w:r>
          </w:p>
        </w:tc>
        <w:tc>
          <w:tcPr>
            <w:tcW w:type="dxa" w:w="5083"/>
            <w:tcMar>
              <w:top w:w="40" w:type="dxa"/>
              <w:start w:w="60" w:type="dxa"/>
              <w:bottom w:w="40" w:type="dxa"/>
              <w:end w:w="60" w:type="dxa"/>
            </w:tcMar>
            <w:shd w:fill="F5F3EF"/>
          </w:tcPr>
          <w:p>
            <w:r>
              <w:rPr>
                <w:rFonts w:ascii="Cambria" w:hAnsi="Cambria"/>
                <w:b w:val="0"/>
                <w:i w:val="0"/>
                <w:color w:val="6B6459"/>
                <w:sz w:val="19"/>
              </w:rPr>
              <w:t>[complete during review]</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Operational issues observed</w:t>
            </w:r>
          </w:p>
        </w:tc>
        <w:tc>
          <w:tcPr>
            <w:tcW w:type="dxa" w:w="5083"/>
            <w:tcMar>
              <w:top w:w="40" w:type="dxa"/>
              <w:start w:w="60" w:type="dxa"/>
              <w:bottom w:w="40" w:type="dxa"/>
              <w:end w:w="60" w:type="dxa"/>
            </w:tcMar>
            <w:shd w:fill="F5F3EF"/>
          </w:tcPr>
          <w:p>
            <w:r>
              <w:rPr>
                <w:rFonts w:ascii="Cambria" w:hAnsi="Cambria"/>
                <w:b w:val="0"/>
                <w:i w:val="0"/>
                <w:color w:val="6B6459"/>
                <w:sz w:val="19"/>
              </w:rPr>
              <w:t>[complete during review]</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Actions agreed</w:t>
            </w:r>
          </w:p>
        </w:tc>
        <w:tc>
          <w:tcPr>
            <w:tcW w:type="dxa" w:w="5083"/>
            <w:tcMar>
              <w:top w:w="40" w:type="dxa"/>
              <w:start w:w="60" w:type="dxa"/>
              <w:bottom w:w="40" w:type="dxa"/>
              <w:end w:w="60" w:type="dxa"/>
            </w:tcMar>
            <w:shd w:fill="F5F3EF"/>
          </w:tcPr>
          <w:p>
            <w:r>
              <w:rPr>
                <w:rFonts w:ascii="Cambria" w:hAnsi="Cambria"/>
                <w:b w:val="0"/>
                <w:i w:val="0"/>
                <w:color w:val="6B6459"/>
                <w:sz w:val="19"/>
              </w:rPr>
              <w:t>[complete during review]</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Next review date</w:t>
            </w:r>
          </w:p>
        </w:tc>
        <w:tc>
          <w:tcPr>
            <w:tcW w:type="dxa" w:w="5083"/>
            <w:tcMar>
              <w:top w:w="40" w:type="dxa"/>
              <w:start w:w="60" w:type="dxa"/>
              <w:bottom w:w="40" w:type="dxa"/>
              <w:end w:w="60" w:type="dxa"/>
            </w:tcMar>
            <w:shd w:fill="F5F3EF"/>
          </w:tcPr>
          <w:p>
            <w:r>
              <w:rPr>
                <w:rFonts w:ascii="Cambria" w:hAnsi="Cambria"/>
                <w:b w:val="0"/>
                <w:i w:val="0"/>
                <w:color w:val="6B6459"/>
                <w:sz w:val="19"/>
              </w:rPr>
              <w:t>[complete during review]</w:t>
            </w:r>
          </w:p>
        </w:tc>
      </w:tr>
    </w:tbl>
    <w:p>
      <w:pPr>
        <w:pStyle w:val="Heading1"/>
      </w:pPr>
      <w:r>
        <w:t>11. Four-Week Pilot Plan</w:t>
      </w:r>
    </w:p>
    <w:p>
      <w:pPr>
        <w:spacing w:after="160"/>
      </w:pPr>
      <w:r>
        <w:rPr>
          <w:rFonts w:ascii="Cambria" w:hAnsi="Cambria"/>
          <w:b w:val="0"/>
          <w:i w:val="0"/>
          <w:color w:val="262626"/>
          <w:sz w:val="21"/>
        </w:rPr>
        <w:t>A bounded way to test the toolkit with a local organization before wider dissemination.</w:t>
      </w:r>
    </w:p>
    <w:p>
      <w:pPr>
        <w:spacing w:before="200" w:after="20"/>
        <w:ind w:left="220"/>
      </w:pPr>
      <w:r>
        <w:rPr>
          <w:rFonts w:ascii="Cambria" w:hAnsi="Cambria"/>
          <w:b/>
          <w:i w:val="0"/>
          <w:color w:val="262626"/>
          <w:sz w:val="21"/>
        </w:rPr>
        <w:t>Pilot boundary.</w:t>
      </w:r>
    </w:p>
    <w:p>
      <w:pPr>
        <w:spacing w:before="20" w:after="140"/>
        <w:ind w:left="220"/>
      </w:pPr>
      <w:r>
        <w:rPr>
          <w:rFonts w:ascii="Cambria" w:hAnsi="Cambria"/>
          <w:b w:val="0"/>
          <w:i/>
          <w:color w:val="262626"/>
          <w:sz w:val="19"/>
        </w:rPr>
        <w:t>The pilot should not require production passwords, private keys, classified information, proprietary source code, unrestricted production access, or unnecessary sensitive data. System names and diagrams may be anonymized.</w:t>
      </w:r>
    </w:p>
    <w:tbl>
      <w:tblPr>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6"/>
              </w:rPr>
              <w:t>Week</w:t>
            </w:r>
          </w:p>
        </w:tc>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6"/>
              </w:rPr>
              <w:t>Focus</w:t>
            </w:r>
          </w:p>
        </w:tc>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6"/>
              </w:rPr>
              <w:t>Core Activities</w:t>
            </w:r>
          </w:p>
        </w:tc>
        <w:tc>
          <w:tcPr>
            <w:tcW w:type="dxa" w:w="2541"/>
            <w:tcMar>
              <w:top w:w="55" w:type="dxa"/>
              <w:start w:w="55" w:type="dxa"/>
              <w:bottom w:w="55" w:type="dxa"/>
              <w:end w:w="55" w:type="dxa"/>
            </w:tcMar>
            <w:vAlign w:val="center"/>
            <w:shd w:fill="44403C"/>
          </w:tcPr>
          <w:p>
            <w:pPr>
              <w:spacing w:after="0"/>
            </w:pPr>
            <w:r>
              <w:rPr>
                <w:rFonts w:ascii="Cambria" w:hAnsi="Cambria"/>
                <w:b/>
                <w:i w:val="0"/>
                <w:color w:val="FFFFFF"/>
                <w:sz w:val="16"/>
              </w:rPr>
              <w:t>Outputs</w:t>
            </w:r>
          </w:p>
        </w:tc>
      </w:tr>
      <w:tr>
        <w:trPr>
          <w:cantSplit/>
        </w:trPr>
        <w:tc>
          <w:tcPr>
            <w:tcW w:type="dxa" w:w="2541"/>
            <w:tcMar>
              <w:top w:w="55" w:type="dxa"/>
              <w:start w:w="55" w:type="dxa"/>
              <w:bottom w:w="55" w:type="dxa"/>
              <w:end w:w="55" w:type="dxa"/>
            </w:tcMar>
            <w:vAlign w:val="center"/>
          </w:tcPr>
          <w:p>
            <w:pPr>
              <w:spacing w:after="0"/>
            </w:pPr>
            <w:r>
              <w:rPr>
                <w:rFonts w:ascii="Cambria" w:hAnsi="Cambria"/>
                <w:b w:val="0"/>
                <w:i w:val="0"/>
                <w:color w:val="262626"/>
                <w:sz w:val="16"/>
              </w:rPr>
              <w:t>1</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6"/>
              </w:rPr>
              <w:t>Discovery &amp; Baseline</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6"/>
              </w:rPr>
              <w:t>Confirm scope and owners; complete readiness scorecard; review asset, identity, network, logging, and DR evidence; identify legacy dependencies.</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6"/>
              </w:rPr>
              <w:t>Scope statement; baseline score; evidence gaps; candidate workloads</w:t>
            </w:r>
          </w:p>
        </w:tc>
      </w:tr>
      <w:tr>
        <w:trPr>
          <w:cantSplit/>
        </w:trPr>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6"/>
              </w:rPr>
              <w:t>2</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6"/>
              </w:rPr>
              <w:t>Transition Risks &amp; Integration</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6"/>
              </w:rPr>
              <w:t>Create risk register; record temporary exceptions; complete integration checklist; identify policy/telemetry gaps.</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6"/>
              </w:rPr>
              <w:t>Prioritized risks; integration actions; exception ownership matrix</w:t>
            </w:r>
          </w:p>
        </w:tc>
      </w:tr>
      <w:tr>
        <w:trPr>
          <w:cantSplit/>
        </w:trPr>
        <w:tc>
          <w:tcPr>
            <w:tcW w:type="dxa" w:w="2541"/>
            <w:tcMar>
              <w:top w:w="55" w:type="dxa"/>
              <w:start w:w="55" w:type="dxa"/>
              <w:bottom w:w="55" w:type="dxa"/>
              <w:end w:w="55" w:type="dxa"/>
            </w:tcMar>
            <w:vAlign w:val="center"/>
          </w:tcPr>
          <w:p>
            <w:pPr>
              <w:spacing w:after="0"/>
            </w:pPr>
            <w:r>
              <w:rPr>
                <w:rFonts w:ascii="Cambria" w:hAnsi="Cambria"/>
                <w:b w:val="0"/>
                <w:i w:val="0"/>
                <w:color w:val="262626"/>
                <w:sz w:val="16"/>
              </w:rPr>
              <w:t>3</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6"/>
              </w:rPr>
              <w:t>Sequencing, Tests &amp; Handover</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6"/>
              </w:rPr>
              <w:t>Use migration worksheet; select 5-10 test cases; draft handover checklist; identify training needs.</w:t>
            </w:r>
          </w:p>
        </w:tc>
        <w:tc>
          <w:tcPr>
            <w:tcW w:type="dxa" w:w="2541"/>
            <w:tcMar>
              <w:top w:w="55" w:type="dxa"/>
              <w:start w:w="55" w:type="dxa"/>
              <w:bottom w:w="55" w:type="dxa"/>
              <w:end w:w="55" w:type="dxa"/>
            </w:tcMar>
            <w:vAlign w:val="center"/>
          </w:tcPr>
          <w:p>
            <w:pPr>
              <w:spacing w:after="0"/>
            </w:pPr>
            <w:r>
              <w:rPr>
                <w:rFonts w:ascii="Cambria" w:hAnsi="Cambria"/>
                <w:b w:val="0"/>
                <w:i w:val="0"/>
                <w:color w:val="262626"/>
                <w:sz w:val="16"/>
              </w:rPr>
              <w:t>Migration waves; test suite; handover gaps</w:t>
            </w:r>
          </w:p>
        </w:tc>
      </w:tr>
      <w:tr>
        <w:trPr>
          <w:cantSplit/>
        </w:trPr>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6"/>
              </w:rPr>
              <w:t>4</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6"/>
              </w:rPr>
              <w:t>Review &amp; 90-Day Roadmap</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6"/>
              </w:rPr>
              <w:t>Re-score priority domains; review residual risks; run authorized tests; gather feedback.</w:t>
            </w:r>
          </w:p>
        </w:tc>
        <w:tc>
          <w:tcPr>
            <w:tcW w:type="dxa" w:w="2541"/>
            <w:tcMar>
              <w:top w:w="55" w:type="dxa"/>
              <w:start w:w="55" w:type="dxa"/>
              <w:bottom w:w="55" w:type="dxa"/>
              <w:end w:w="55" w:type="dxa"/>
            </w:tcMar>
            <w:vAlign w:val="center"/>
            <w:shd w:fill="F6F4F0"/>
          </w:tcPr>
          <w:p>
            <w:pPr>
              <w:spacing w:after="0"/>
            </w:pPr>
            <w:r>
              <w:rPr>
                <w:rFonts w:ascii="Cambria" w:hAnsi="Cambria"/>
                <w:b w:val="0"/>
                <w:i w:val="0"/>
                <w:color w:val="262626"/>
                <w:sz w:val="16"/>
              </w:rPr>
              <w:t>Pilot findings; 30/60/90 roadmap; feedback; proposed v0.2 changes</w:t>
            </w:r>
          </w:p>
        </w:tc>
      </w:tr>
    </w:tbl>
    <w:p>
      <w:pPr>
        <w:spacing w:before="200" w:after="20"/>
        <w:ind w:left="220"/>
      </w:pPr>
      <w:r>
        <w:rPr>
          <w:rFonts w:ascii="Cambria" w:hAnsi="Cambria"/>
          <w:b/>
          <w:i w:val="0"/>
          <w:color w:val="262626"/>
          <w:sz w:val="21"/>
        </w:rPr>
        <w:t>Minimum success criterion.</w:t>
      </w:r>
    </w:p>
    <w:p>
      <w:pPr>
        <w:spacing w:before="20" w:after="140"/>
        <w:ind w:left="220"/>
      </w:pPr>
      <w:r>
        <w:rPr>
          <w:rFonts w:ascii="Cambria" w:hAnsi="Cambria"/>
          <w:b w:val="0"/>
          <w:i/>
          <w:color w:val="262626"/>
          <w:sz w:val="19"/>
        </w:rPr>
        <w:t>The pilot should identify at least one previously unmanaged transition risk, assign clear ownership, define an evidence-based retirement condition, and leave the organization with a repeatable operating artifact.</w:t>
      </w:r>
    </w:p>
    <w:p>
      <w:r>
        <w:br w:type="page"/>
      </w:r>
    </w:p>
    <w:p>
      <w:pPr>
        <w:pStyle w:val="Heading1"/>
      </w:pPr>
      <w:r>
        <w:t>12. Pilot Feedback Form</w:t>
      </w:r>
    </w:p>
    <w:p>
      <w:pPr>
        <w:spacing w:after="160"/>
      </w:pPr>
      <w:r>
        <w:rPr>
          <w:rFonts w:ascii="Cambria" w:hAnsi="Cambria"/>
          <w:b w:val="0"/>
          <w:i w:val="0"/>
          <w:color w:val="262626"/>
          <w:sz w:val="21"/>
        </w:rPr>
        <w:t>Use feedback to improve v0.2 rather than treating the first version as finished.</w:t>
      </w:r>
    </w:p>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Organization / team</w:t>
            </w:r>
          </w:p>
        </w:tc>
        <w:tc>
          <w:tcPr>
            <w:tcW w:type="dxa" w:w="5083"/>
            <w:tcMar>
              <w:top w:w="40" w:type="dxa"/>
              <w:start w:w="60" w:type="dxa"/>
              <w:bottom w:w="40" w:type="dxa"/>
              <w:end w:w="60" w:type="dxa"/>
            </w:tcMar>
            <w:shd w:fill="F5F3EF"/>
          </w:tcPr>
          <w:p>
            <w:r>
              <w:rPr>
                <w:rFonts w:ascii="Cambria" w:hAnsi="Cambria"/>
                <w:b w:val="0"/>
                <w:i w:val="0"/>
                <w:color w:val="6B6459"/>
                <w:sz w:val="19"/>
              </w:rPr>
              <w:t xml:space="preserve"> </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Pilot dates</w:t>
            </w:r>
          </w:p>
        </w:tc>
        <w:tc>
          <w:tcPr>
            <w:tcW w:type="dxa" w:w="5083"/>
            <w:tcMar>
              <w:top w:w="40" w:type="dxa"/>
              <w:start w:w="60" w:type="dxa"/>
              <w:bottom w:w="40" w:type="dxa"/>
              <w:end w:w="60" w:type="dxa"/>
            </w:tcMar>
            <w:shd w:fill="F5F3EF"/>
          </w:tcPr>
          <w:p>
            <w:r>
              <w:rPr>
                <w:rFonts w:ascii="Cambria" w:hAnsi="Cambria"/>
                <w:b w:val="0"/>
                <w:i w:val="0"/>
                <w:color w:val="6B6459"/>
                <w:sz w:val="19"/>
              </w:rPr>
              <w:t xml:space="preserve"> </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Reviewer role</w:t>
            </w:r>
          </w:p>
        </w:tc>
        <w:tc>
          <w:tcPr>
            <w:tcW w:type="dxa" w:w="5083"/>
            <w:tcMar>
              <w:top w:w="40" w:type="dxa"/>
              <w:start w:w="60" w:type="dxa"/>
              <w:bottom w:w="40" w:type="dxa"/>
              <w:end w:w="60" w:type="dxa"/>
            </w:tcMar>
            <w:shd w:fill="F5F3EF"/>
          </w:tcPr>
          <w:p>
            <w:r>
              <w:rPr>
                <w:rFonts w:ascii="Cambria" w:hAnsi="Cambria"/>
                <w:b w:val="0"/>
                <w:i w:val="0"/>
                <w:color w:val="6B6459"/>
                <w:sz w:val="19"/>
              </w:rPr>
              <w:t xml:space="preserve"> </w:t>
            </w:r>
          </w:p>
        </w:tc>
      </w:tr>
    </w:tbl>
    <w:p>
      <w:r>
        <w:rPr>
          <w:rFonts w:ascii="Cambria" w:hAnsi="Cambria"/>
          <w:b/>
          <w:i w:val="0"/>
          <w:color w:val="262626"/>
          <w:sz w:val="19"/>
        </w:rPr>
        <w:t>1. Which toolkit artifact was most useful, and why?</w:t>
      </w:r>
    </w:p>
    <w:p>
      <w:pPr>
        <w:spacing w:after="40"/>
      </w:pPr>
      <w:r>
        <w:rPr>
          <w:rFonts w:ascii="Cambria" w:hAnsi="Cambria"/>
          <w:b w:val="0"/>
          <w:i w:val="0"/>
          <w:color w:val="B8AFA0"/>
          <w:sz w:val="16"/>
        </w:rPr>
        <w:t>________________________________________________________________________________</w:t>
      </w:r>
    </w:p>
    <w:p>
      <w:r>
        <w:rPr>
          <w:rFonts w:ascii="Cambria" w:hAnsi="Cambria"/>
          <w:b/>
          <w:i w:val="0"/>
          <w:color w:val="262626"/>
          <w:sz w:val="19"/>
        </w:rPr>
        <w:t>2. Which artifact was least useful or duplicated an existing process?</w:t>
      </w:r>
    </w:p>
    <w:p>
      <w:pPr>
        <w:spacing w:after="40"/>
      </w:pPr>
      <w:r>
        <w:rPr>
          <w:rFonts w:ascii="Cambria" w:hAnsi="Cambria"/>
          <w:b w:val="0"/>
          <w:i w:val="0"/>
          <w:color w:val="B8AFA0"/>
          <w:sz w:val="16"/>
        </w:rPr>
        <w:t>________________________________________________________________________________</w:t>
      </w:r>
    </w:p>
    <w:p>
      <w:r>
        <w:rPr>
          <w:rFonts w:ascii="Cambria" w:hAnsi="Cambria"/>
          <w:b/>
          <w:i w:val="0"/>
          <w:color w:val="262626"/>
          <w:sz w:val="19"/>
        </w:rPr>
        <w:t>3. Did the toolkit identify risks or dependencies that were not already visible?</w:t>
      </w:r>
    </w:p>
    <w:p>
      <w:pPr>
        <w:spacing w:after="40"/>
      </w:pPr>
      <w:r>
        <w:rPr>
          <w:rFonts w:ascii="Cambria" w:hAnsi="Cambria"/>
          <w:b w:val="0"/>
          <w:i w:val="0"/>
          <w:color w:val="B8AFA0"/>
          <w:sz w:val="16"/>
        </w:rPr>
        <w:t>________________________________________________________________________________</w:t>
      </w:r>
    </w:p>
    <w:p>
      <w:r>
        <w:rPr>
          <w:rFonts w:ascii="Cambria" w:hAnsi="Cambria"/>
          <w:b/>
          <w:i w:val="0"/>
          <w:color w:val="262626"/>
          <w:sz w:val="19"/>
        </w:rPr>
        <w:t>4. Were any questions or scoring definitions difficult to interpret?</w:t>
      </w:r>
    </w:p>
    <w:p>
      <w:pPr>
        <w:spacing w:after="40"/>
      </w:pPr>
      <w:r>
        <w:rPr>
          <w:rFonts w:ascii="Cambria" w:hAnsi="Cambria"/>
          <w:b w:val="0"/>
          <w:i w:val="0"/>
          <w:color w:val="B8AFA0"/>
          <w:sz w:val="16"/>
        </w:rPr>
        <w:t>________________________________________________________________________________</w:t>
      </w:r>
    </w:p>
    <w:p>
      <w:r>
        <w:rPr>
          <w:rFonts w:ascii="Cambria" w:hAnsi="Cambria"/>
          <w:b/>
          <w:i w:val="0"/>
          <w:color w:val="262626"/>
          <w:sz w:val="19"/>
        </w:rPr>
        <w:t>5. Did the readiness scorecard reflect the organization’s actual maturity reasonably well?</w:t>
      </w:r>
    </w:p>
    <w:p>
      <w:pPr>
        <w:spacing w:after="40"/>
      </w:pPr>
      <w:r>
        <w:rPr>
          <w:rFonts w:ascii="Cambria" w:hAnsi="Cambria"/>
          <w:b w:val="0"/>
          <w:i w:val="0"/>
          <w:color w:val="B8AFA0"/>
          <w:sz w:val="16"/>
        </w:rPr>
        <w:t>________________________________________________________________________________</w:t>
      </w:r>
    </w:p>
    <w:p>
      <w:r>
        <w:rPr>
          <w:rFonts w:ascii="Cambria" w:hAnsi="Cambria"/>
          <w:b/>
          <w:i w:val="0"/>
          <w:color w:val="262626"/>
          <w:sz w:val="19"/>
        </w:rPr>
        <w:t>6. Could the internal team use the artifacts without external consulting support?</w:t>
      </w:r>
    </w:p>
    <w:p>
      <w:pPr>
        <w:spacing w:after="40"/>
      </w:pPr>
      <w:r>
        <w:rPr>
          <w:rFonts w:ascii="Cambria" w:hAnsi="Cambria"/>
          <w:b w:val="0"/>
          <w:i w:val="0"/>
          <w:color w:val="B8AFA0"/>
          <w:sz w:val="16"/>
        </w:rPr>
        <w:t>________________________________________________________________________________</w:t>
      </w:r>
    </w:p>
    <w:p>
      <w:r>
        <w:rPr>
          <w:rFonts w:ascii="Cambria" w:hAnsi="Cambria"/>
          <w:b/>
          <w:i w:val="0"/>
          <w:color w:val="262626"/>
          <w:sz w:val="19"/>
        </w:rPr>
        <w:t>7. Which fields or controls should be removed?</w:t>
      </w:r>
    </w:p>
    <w:p>
      <w:pPr>
        <w:spacing w:after="40"/>
      </w:pPr>
      <w:r>
        <w:rPr>
          <w:rFonts w:ascii="Cambria" w:hAnsi="Cambria"/>
          <w:b w:val="0"/>
          <w:i w:val="0"/>
          <w:color w:val="B8AFA0"/>
          <w:sz w:val="16"/>
        </w:rPr>
        <w:t>________________________________________________________________________________</w:t>
      </w:r>
    </w:p>
    <w:p>
      <w:r>
        <w:rPr>
          <w:rFonts w:ascii="Cambria" w:hAnsi="Cambria"/>
          <w:b/>
          <w:i w:val="0"/>
          <w:color w:val="262626"/>
          <w:sz w:val="19"/>
        </w:rPr>
        <w:t>8. Which fields or controls are missing?</w:t>
      </w:r>
    </w:p>
    <w:p>
      <w:pPr>
        <w:spacing w:after="40"/>
      </w:pPr>
      <w:r>
        <w:rPr>
          <w:rFonts w:ascii="Cambria" w:hAnsi="Cambria"/>
          <w:b w:val="0"/>
          <w:i w:val="0"/>
          <w:color w:val="B8AFA0"/>
          <w:sz w:val="16"/>
        </w:rPr>
        <w:t>________________________________________________________________________________</w:t>
      </w:r>
    </w:p>
    <w:p>
      <w:r>
        <w:rPr>
          <w:rFonts w:ascii="Cambria" w:hAnsi="Cambria"/>
          <w:b/>
          <w:i w:val="0"/>
          <w:color w:val="262626"/>
          <w:sz w:val="19"/>
        </w:rPr>
        <w:t>9. Would the organization use an updated version in another modernization effort?</w:t>
      </w:r>
    </w:p>
    <w:p>
      <w:pPr>
        <w:spacing w:after="40"/>
      </w:pPr>
      <w:r>
        <w:rPr>
          <w:rFonts w:ascii="Cambria" w:hAnsi="Cambria"/>
          <w:b w:val="0"/>
          <w:i w:val="0"/>
          <w:color w:val="B8AFA0"/>
          <w:sz w:val="16"/>
        </w:rPr>
        <w:t>________________________________________________________________________________</w:t>
      </w:r>
    </w:p>
    <w:p>
      <w:r>
        <w:rPr>
          <w:rFonts w:ascii="Cambria" w:hAnsi="Cambria"/>
          <w:b/>
          <w:i w:val="0"/>
          <w:color w:val="262626"/>
          <w:sz w:val="19"/>
        </w:rPr>
        <w:t>10. May anonymized feedback be incorporated into future public versions?</w:t>
      </w:r>
    </w:p>
    <w:p>
      <w:pPr>
        <w:spacing w:after="40"/>
      </w:pPr>
      <w:r>
        <w:rPr>
          <w:rFonts w:ascii="Cambria" w:hAnsi="Cambria"/>
          <w:b w:val="0"/>
          <w:i w:val="0"/>
          <w:color w:val="B8AFA0"/>
          <w:sz w:val="16"/>
        </w:rPr>
        <w:t>________________________________________________________________________________</w:t>
      </w:r>
    </w:p>
    <w:p>
      <w:pPr>
        <w:pStyle w:val="Heading2"/>
      </w:pPr>
      <w:r>
        <w:rPr>
          <w:rFonts w:ascii="Cambria" w:hAnsi="Cambria"/>
          <w:b/>
          <w:i w:val="0"/>
          <w:color w:val="262626"/>
          <w:sz w:val="25"/>
        </w:rPr>
        <w:t>Outcome Metrics</w:t>
      </w:r>
    </w:p>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Transition risks identified</w:t>
            </w:r>
          </w:p>
        </w:tc>
        <w:tc>
          <w:tcPr>
            <w:tcW w:type="dxa" w:w="5083"/>
            <w:tcMar>
              <w:top w:w="40" w:type="dxa"/>
              <w:start w:w="60" w:type="dxa"/>
              <w:bottom w:w="40" w:type="dxa"/>
              <w:end w:w="60" w:type="dxa"/>
            </w:tcMar>
            <w:shd w:fill="F5F3EF"/>
          </w:tcPr>
          <w:p>
            <w:r>
              <w:rPr>
                <w:rFonts w:ascii="Cambria" w:hAnsi="Cambria"/>
                <w:b w:val="0"/>
                <w:i w:val="0"/>
                <w:color w:val="6B6459"/>
                <w:sz w:val="19"/>
              </w:rPr>
              <w:t xml:space="preserve"> </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Risks assigned to a named owner</w:t>
            </w:r>
          </w:p>
        </w:tc>
        <w:tc>
          <w:tcPr>
            <w:tcW w:type="dxa" w:w="5083"/>
            <w:tcMar>
              <w:top w:w="40" w:type="dxa"/>
              <w:start w:w="60" w:type="dxa"/>
              <w:bottom w:w="40" w:type="dxa"/>
              <w:end w:w="60" w:type="dxa"/>
            </w:tcMar>
            <w:shd w:fill="F5F3EF"/>
          </w:tcPr>
          <w:p>
            <w:r>
              <w:rPr>
                <w:rFonts w:ascii="Cambria" w:hAnsi="Cambria"/>
                <w:b w:val="0"/>
                <w:i w:val="0"/>
                <w:color w:val="6B6459"/>
                <w:sz w:val="19"/>
              </w:rPr>
              <w:t xml:space="preserve"> </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Risks with explicit retirement conditions</w:t>
            </w:r>
          </w:p>
        </w:tc>
        <w:tc>
          <w:tcPr>
            <w:tcW w:type="dxa" w:w="5083"/>
            <w:tcMar>
              <w:top w:w="40" w:type="dxa"/>
              <w:start w:w="60" w:type="dxa"/>
              <w:bottom w:w="40" w:type="dxa"/>
              <w:end w:w="60" w:type="dxa"/>
            </w:tcMar>
            <w:shd w:fill="F5F3EF"/>
          </w:tcPr>
          <w:p>
            <w:r>
              <w:rPr>
                <w:rFonts w:ascii="Cambria" w:hAnsi="Cambria"/>
                <w:b w:val="0"/>
                <w:i w:val="0"/>
                <w:color w:val="6B6459"/>
                <w:sz w:val="19"/>
              </w:rPr>
              <w:t xml:space="preserve"> </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Reusable test cases created</w:t>
            </w:r>
          </w:p>
        </w:tc>
        <w:tc>
          <w:tcPr>
            <w:tcW w:type="dxa" w:w="5083"/>
            <w:tcMar>
              <w:top w:w="40" w:type="dxa"/>
              <w:start w:w="60" w:type="dxa"/>
              <w:bottom w:w="40" w:type="dxa"/>
              <w:end w:w="60" w:type="dxa"/>
            </w:tcMar>
            <w:shd w:fill="F5F3EF"/>
          </w:tcPr>
          <w:p>
            <w:r>
              <w:rPr>
                <w:rFonts w:ascii="Cambria" w:hAnsi="Cambria"/>
                <w:b w:val="0"/>
                <w:i w:val="0"/>
                <w:color w:val="6B6459"/>
                <w:sz w:val="19"/>
              </w:rPr>
              <w:t xml:space="preserve"> </w:t>
            </w:r>
          </w:p>
        </w:tc>
      </w:tr>
    </w:tbl>
    <w:tbl>
      <w:tblPr>
        <w:tblW w:type="auto" w:w="0"/>
        <w:jc w:val="left"/>
        <w:tblLayout w:type="fixed"/>
        <w:tblLook w:firstColumn="1" w:firstRow="1" w:lastColumn="0" w:lastRow="0" w:noHBand="0" w:noVBand="1" w:val="04A0"/>
      </w:tblPr>
      <w:tblGrid>
        <w:gridCol w:w="2880"/>
        <w:gridCol w:w="6768"/>
      </w:tblGrid>
      <w:tr>
        <w:tc>
          <w:tcPr>
            <w:tcW w:type="dxa" w:w="5083"/>
            <w:tcMar>
              <w:top w:w="40" w:type="dxa"/>
              <w:start w:w="60" w:type="dxa"/>
              <w:bottom w:w="40" w:type="dxa"/>
              <w:end w:w="60" w:type="dxa"/>
            </w:tcMar>
          </w:tcPr>
          <w:p>
            <w:r>
              <w:rPr>
                <w:rFonts w:ascii="Cambria" w:hAnsi="Cambria"/>
                <w:b/>
                <w:i w:val="0"/>
                <w:color w:val="262626"/>
                <w:sz w:val="19"/>
              </w:rPr>
              <w:t>Measurable operational improvement observed</w:t>
            </w:r>
          </w:p>
        </w:tc>
        <w:tc>
          <w:tcPr>
            <w:tcW w:type="dxa" w:w="5083"/>
            <w:tcMar>
              <w:top w:w="40" w:type="dxa"/>
              <w:start w:w="60" w:type="dxa"/>
              <w:bottom w:w="40" w:type="dxa"/>
              <w:end w:w="60" w:type="dxa"/>
            </w:tcMar>
            <w:shd w:fill="F5F3EF"/>
          </w:tcPr>
          <w:p>
            <w:r>
              <w:rPr>
                <w:rFonts w:ascii="Cambria" w:hAnsi="Cambria"/>
                <w:b w:val="0"/>
                <w:i w:val="0"/>
                <w:color w:val="6B6459"/>
                <w:sz w:val="19"/>
              </w:rPr>
              <w:t xml:space="preserve"> </w:t>
            </w:r>
          </w:p>
        </w:tc>
      </w:tr>
    </w:tbl>
    <w:p>
      <w:r>
        <w:br w:type="page"/>
      </w:r>
    </w:p>
    <w:p>
      <w:pPr>
        <w:pStyle w:val="Heading1"/>
      </w:pPr>
      <w:r>
        <w:t>13. Recommended Operating Sequence</w:t>
      </w:r>
    </w:p>
    <w:p>
      <w:pPr>
        <w:spacing w:after="40"/>
      </w:pPr>
      <w:r>
        <w:rPr>
          <w:rFonts w:ascii="Cambria" w:hAnsi="Cambria"/>
          <w:b w:val="0"/>
          <w:i w:val="0"/>
          <w:color w:val="262626"/>
          <w:sz w:val="20"/>
        </w:rPr>
        <w:t>1.  Baseline the environment using the Readiness Scorecard.</w:t>
      </w:r>
    </w:p>
    <w:p>
      <w:pPr>
        <w:spacing w:after="40"/>
      </w:pPr>
      <w:r>
        <w:rPr>
          <w:rFonts w:ascii="Cambria" w:hAnsi="Cambria"/>
          <w:b w:val="0"/>
          <w:i w:val="0"/>
          <w:color w:val="262626"/>
          <w:sz w:val="20"/>
        </w:rPr>
        <w:t>2.  Record temporary migration conditions in the Transition-State Risk Register.</w:t>
      </w:r>
    </w:p>
    <w:p>
      <w:pPr>
        <w:spacing w:after="40"/>
      </w:pPr>
      <w:r>
        <w:rPr>
          <w:rFonts w:ascii="Cambria" w:hAnsi="Cambria"/>
          <w:b w:val="0"/>
          <w:i w:val="0"/>
          <w:color w:val="262626"/>
          <w:sz w:val="20"/>
        </w:rPr>
        <w:t>3.  Use approved data sensitivity plus operational readiness to sequence workloads.</w:t>
      </w:r>
    </w:p>
    <w:p>
      <w:pPr>
        <w:spacing w:after="40"/>
      </w:pPr>
      <w:r>
        <w:rPr>
          <w:rFonts w:ascii="Cambria" w:hAnsi="Cambria"/>
          <w:b w:val="0"/>
          <w:i w:val="0"/>
          <w:color w:val="262626"/>
          <w:sz w:val="20"/>
        </w:rPr>
        <w:t>4.  Validate critical product and telemetry integrations before relying on end-to-end policy decisions.</w:t>
      </w:r>
    </w:p>
    <w:p>
      <w:pPr>
        <w:spacing w:after="40"/>
      </w:pPr>
      <w:r>
        <w:rPr>
          <w:rFonts w:ascii="Cambria" w:hAnsi="Cambria"/>
          <w:b w:val="0"/>
          <w:i w:val="0"/>
          <w:color w:val="262626"/>
          <w:sz w:val="20"/>
        </w:rPr>
        <w:t>5.  Select reusable test cases for each migration/segmentation wave.</w:t>
      </w:r>
    </w:p>
    <w:p>
      <w:pPr>
        <w:spacing w:after="40"/>
      </w:pPr>
      <w:r>
        <w:rPr>
          <w:rFonts w:ascii="Cambria" w:hAnsi="Cambria"/>
          <w:b w:val="0"/>
          <w:i w:val="0"/>
          <w:color w:val="262626"/>
          <w:sz w:val="20"/>
        </w:rPr>
        <w:t>6.  Complete handover before implementation-team dependency becomes permanent.</w:t>
      </w:r>
    </w:p>
    <w:p>
      <w:pPr>
        <w:spacing w:after="40"/>
      </w:pPr>
      <w:r>
        <w:rPr>
          <w:rFonts w:ascii="Cambria" w:hAnsi="Cambria"/>
          <w:b w:val="0"/>
          <w:i w:val="0"/>
          <w:color w:val="262626"/>
          <w:sz w:val="20"/>
        </w:rPr>
        <w:t>7.  Review the environment at 30, 60, and 90 days and retire temporary exceptions as soon as evidence supports closure.</w:t>
      </w:r>
    </w:p>
    <w:p>
      <w:pPr>
        <w:spacing w:after="40"/>
      </w:pPr>
      <w:r>
        <w:rPr>
          <w:rFonts w:ascii="Cambria" w:hAnsi="Cambria"/>
          <w:b w:val="0"/>
          <w:i w:val="0"/>
          <w:color w:val="262626"/>
          <w:sz w:val="20"/>
        </w:rPr>
        <w:t>8.  Capture pilot feedback, update the toolkit, and publish a versioned changelog.</w:t>
      </w:r>
    </w:p>
    <w:p>
      <w:pPr>
        <w:pStyle w:val="Heading2"/>
      </w:pPr>
      <w:r>
        <w:rPr>
          <w:rFonts w:ascii="Cambria" w:hAnsi="Cambria"/>
          <w:b/>
          <w:i w:val="0"/>
          <w:color w:val="262626"/>
          <w:sz w:val="25"/>
        </w:rPr>
        <w:t>Minimum Evidence Package for a Real Pilot</w:t>
      </w:r>
    </w:p>
    <w:p>
      <w:pPr>
        <w:pStyle w:val="ListBullet"/>
        <w:spacing w:after="40"/>
      </w:pPr>
      <w:r>
        <w:rPr>
          <w:rFonts w:ascii="Cambria" w:hAnsi="Cambria"/>
          <w:b w:val="0"/>
          <w:i w:val="0"/>
          <w:color w:val="262626"/>
          <w:sz w:val="19"/>
        </w:rPr>
        <w:t>Completed readiness scorecard with evidence references.</w:t>
      </w:r>
    </w:p>
    <w:p>
      <w:pPr>
        <w:pStyle w:val="ListBullet"/>
        <w:spacing w:after="40"/>
      </w:pPr>
      <w:r>
        <w:rPr>
          <w:rFonts w:ascii="Cambria" w:hAnsi="Cambria"/>
          <w:b w:val="0"/>
          <w:i w:val="0"/>
          <w:color w:val="262626"/>
          <w:sz w:val="19"/>
        </w:rPr>
        <w:t>Transition-state risk register with owners and retirement conditions.</w:t>
      </w:r>
    </w:p>
    <w:p>
      <w:pPr>
        <w:pStyle w:val="ListBullet"/>
        <w:spacing w:after="40"/>
      </w:pPr>
      <w:r>
        <w:rPr>
          <w:rFonts w:ascii="Cambria" w:hAnsi="Cambria"/>
          <w:b w:val="0"/>
          <w:i w:val="0"/>
          <w:color w:val="262626"/>
          <w:sz w:val="19"/>
        </w:rPr>
        <w:t>At least one migration sequencing decision tied to documented sensitivity/criticality and technical readiness.</w:t>
      </w:r>
    </w:p>
    <w:p>
      <w:pPr>
        <w:pStyle w:val="ListBullet"/>
        <w:spacing w:after="40"/>
      </w:pPr>
      <w:r>
        <w:rPr>
          <w:rFonts w:ascii="Cambria" w:hAnsi="Cambria"/>
          <w:b w:val="0"/>
          <w:i w:val="0"/>
          <w:color w:val="262626"/>
          <w:sz w:val="19"/>
        </w:rPr>
        <w:t>Completed integration-readiness checks for the pilot scope.</w:t>
      </w:r>
    </w:p>
    <w:p>
      <w:pPr>
        <w:pStyle w:val="ListBullet"/>
        <w:spacing w:after="40"/>
      </w:pPr>
      <w:r>
        <w:rPr>
          <w:rFonts w:ascii="Cambria" w:hAnsi="Cambria"/>
          <w:b w:val="0"/>
          <w:i w:val="0"/>
          <w:color w:val="262626"/>
          <w:sz w:val="19"/>
        </w:rPr>
        <w:t>Five or more repeatable validation test cases.</w:t>
      </w:r>
    </w:p>
    <w:p>
      <w:pPr>
        <w:pStyle w:val="ListBullet"/>
        <w:spacing w:after="40"/>
      </w:pPr>
      <w:r>
        <w:rPr>
          <w:rFonts w:ascii="Cambria" w:hAnsi="Cambria"/>
          <w:b w:val="0"/>
          <w:i w:val="0"/>
          <w:color w:val="262626"/>
          <w:sz w:val="19"/>
        </w:rPr>
        <w:t>Signed-off handover checklist or documented gaps.</w:t>
      </w:r>
    </w:p>
    <w:p>
      <w:pPr>
        <w:pStyle w:val="ListBullet"/>
        <w:spacing w:after="40"/>
      </w:pPr>
      <w:r>
        <w:rPr>
          <w:rFonts w:ascii="Cambria" w:hAnsi="Cambria"/>
          <w:b w:val="0"/>
          <w:i w:val="0"/>
          <w:color w:val="262626"/>
          <w:sz w:val="19"/>
        </w:rPr>
        <w:t>30/60/90-day improvement roadmap.</w:t>
      </w:r>
    </w:p>
    <w:p>
      <w:pPr>
        <w:pStyle w:val="ListBullet"/>
        <w:spacing w:after="40"/>
      </w:pPr>
      <w:r>
        <w:rPr>
          <w:rFonts w:ascii="Cambria" w:hAnsi="Cambria"/>
          <w:b w:val="0"/>
          <w:i w:val="0"/>
          <w:color w:val="262626"/>
          <w:sz w:val="19"/>
        </w:rPr>
        <w:t>Independent participant feedback suitable for anonymized incorporation into v0.2.</w:t>
      </w:r>
    </w:p>
    <w:p>
      <w:pPr>
        <w:pStyle w:val="Heading1"/>
      </w:pPr>
      <w:r>
        <w:t>14. GitHub Publication Structure</w:t>
      </w:r>
    </w:p>
    <w:p>
      <w:pPr>
        <w:spacing w:after="160"/>
      </w:pPr>
      <w:r>
        <w:rPr>
          <w:rFonts w:ascii="Cambria" w:hAnsi="Cambria"/>
          <w:b w:val="0"/>
          <w:i w:val="0"/>
          <w:color w:val="262626"/>
          <w:sz w:val="21"/>
        </w:rPr>
        <w:t>The repository should distribute the editable artifacts while this document serves as the consolidated human-readable edition.</w:t>
      </w:r>
    </w:p>
    <w:p>
      <w:pPr>
        <w:spacing w:before="160" w:after="160"/>
        <w:ind w:left="220"/>
      </w:pPr>
      <w:r>
        <w:rPr>
          <w:rFonts w:ascii="Consolas" w:hAnsi="Consolas"/>
          <w:b w:val="0"/>
          <w:i w:val="0"/>
          <w:color w:val="262626"/>
          <w:sz w:val="17"/>
        </w:rPr>
        <w:t>transition-state-zero-trust-toolkit/</w:t>
        <w:br/>
        <w:t>├── README.md</w:t>
        <w:br/>
        <w:t>├── CHANGELOG.md</w:t>
        <w:br/>
        <w:t>├── CONTRIBUTING.md</w:t>
        <w:br/>
        <w:t>├── SECURITY.md</w:t>
        <w:br/>
        <w:t>├── LICENSE</w:t>
        <w:br/>
        <w:t>├── docs/</w:t>
        <w:br/>
        <w:t>│   ├── Transition_State_Zero_Trust_Adoption_Toolkit_Consolidated_v0.1.docx</w:t>
        <w:br/>
        <w:t>│   ├── nist_sp1800_35_alignment.md</w:t>
        <w:br/>
        <w:t>│   └── reviewer_pitch.md</w:t>
        <w:br/>
        <w:t>├── assessment-tool/</w:t>
        <w:br/>
        <w:t>│   └── zero_trust_transition_readiness_scorecard.xlsx</w:t>
        <w:br/>
        <w:t>├── templates/</w:t>
        <w:br/>
        <w:t>│   ├── transition_state_risk_register.xlsx</w:t>
        <w:br/>
        <w:t>│   ├── data_sensitivity_migration_sequencing.xlsx</w:t>
        <w:br/>
        <w:t>│   ├── integration_readiness_checklist.csv</w:t>
        <w:br/>
        <w:t>│   └── handover_operating_model_checklist.md</w:t>
        <w:br/>
        <w:t>├── test-cases/</w:t>
        <w:br/>
        <w:t>│   └── zero_trust_transition_test_cases.csv</w:t>
        <w:br/>
        <w:t>└── pilot/</w:t>
        <w:br/>
        <w:t xml:space="preserve">    ├── 4_week_pilot_plan.md</w:t>
        <w:br/>
        <w:t xml:space="preserve">    └── pilot_feedback_form.md</w:t>
      </w:r>
    </w:p>
    <w:p>
      <w:pPr>
        <w:pStyle w:val="Heading2"/>
      </w:pPr>
      <w:r>
        <w:rPr>
          <w:rFonts w:ascii="Cambria" w:hAnsi="Cambria"/>
          <w:b/>
          <w:i w:val="0"/>
          <w:color w:val="262626"/>
          <w:sz w:val="25"/>
        </w:rPr>
        <w:t>Recommended Repository Description</w:t>
      </w:r>
    </w:p>
    <w:p>
      <w:r>
        <w:rPr>
          <w:rFonts w:ascii="Cambria" w:hAnsi="Cambria"/>
          <w:b w:val="0"/>
          <w:i/>
          <w:color w:val="262626"/>
          <w:sz w:val="20"/>
        </w:rPr>
        <w:t>Open, vendor-neutral operational templates for governing the transition state between legacy infrastructure and Zero Trust, aligned with NIST SP 1800-35.</w:t>
      </w:r>
    </w:p>
    <w:p>
      <w:pPr>
        <w:pStyle w:val="Heading2"/>
      </w:pPr>
      <w:r>
        <w:rPr>
          <w:rFonts w:ascii="Cambria" w:hAnsi="Cambria"/>
          <w:b/>
          <w:i w:val="0"/>
          <w:color w:val="262626"/>
          <w:sz w:val="25"/>
        </w:rPr>
        <w:t>Suggested Topics / Tags</w:t>
      </w:r>
    </w:p>
    <w:p>
      <w:r>
        <w:rPr>
          <w:rFonts w:ascii="Cambria" w:hAnsi="Cambria"/>
          <w:b w:val="0"/>
          <w:i w:val="0"/>
          <w:color w:val="262626"/>
          <w:sz w:val="19"/>
        </w:rPr>
        <w:t>zero-trust • nist • cybersecurity • cloud-migration • legacy-modernization • risk-governance • devsecops • infrastructure-as-code • public-sector</w:t>
      </w:r>
    </w:p>
    <w:p>
      <w:pPr>
        <w:pStyle w:val="Heading2"/>
      </w:pPr>
      <w:r>
        <w:rPr>
          <w:rFonts w:ascii="Cambria" w:hAnsi="Cambria"/>
          <w:b/>
          <w:i w:val="0"/>
          <w:color w:val="262626"/>
          <w:sz w:val="25"/>
        </w:rPr>
        <w:t>Versioning</w:t>
      </w:r>
    </w:p>
    <w:p>
      <w:pPr>
        <w:pStyle w:val="ListBullet"/>
        <w:spacing w:after="40"/>
      </w:pPr>
      <w:r>
        <w:rPr>
          <w:rFonts w:ascii="Cambria" w:hAnsi="Cambria"/>
          <w:b w:val="0"/>
          <w:i w:val="0"/>
          <w:color w:val="262626"/>
          <w:sz w:val="19"/>
        </w:rPr>
        <w:t>v0.1: community-review draft with hypothetical examples.</w:t>
      </w:r>
    </w:p>
    <w:p>
      <w:pPr>
        <w:pStyle w:val="ListBullet"/>
        <w:spacing w:after="40"/>
      </w:pPr>
      <w:r>
        <w:rPr>
          <w:rFonts w:ascii="Cambria" w:hAnsi="Cambria"/>
          <w:b w:val="0"/>
          <w:i w:val="0"/>
          <w:color w:val="262626"/>
          <w:sz w:val="19"/>
        </w:rPr>
        <w:t>v0.2: incorporate pilot feedback and clarify ambiguous fields.</w:t>
      </w:r>
    </w:p>
    <w:p>
      <w:pPr>
        <w:pStyle w:val="ListBullet"/>
        <w:spacing w:after="40"/>
      </w:pPr>
      <w:r>
        <w:rPr>
          <w:rFonts w:ascii="Cambria" w:hAnsi="Cambria"/>
          <w:b w:val="0"/>
          <w:i w:val="0"/>
          <w:color w:val="262626"/>
          <w:sz w:val="19"/>
        </w:rPr>
        <w:t>v0.3: add validated organization-specific case studies only with permission and anonymization.</w:t>
      </w:r>
    </w:p>
    <w:p>
      <w:pPr>
        <w:pStyle w:val="ListBullet"/>
        <w:spacing w:after="40"/>
      </w:pPr>
      <w:r>
        <w:rPr>
          <w:rFonts w:ascii="Cambria" w:hAnsi="Cambria"/>
          <w:b w:val="0"/>
          <w:i w:val="0"/>
          <w:color w:val="262626"/>
          <w:sz w:val="19"/>
        </w:rPr>
        <w:t>v1.0: stable public release after at least one independent pilot and documented review cycle.</w:t>
      </w:r>
    </w:p>
    <w:p>
      <w:pPr>
        <w:pStyle w:val="Heading1"/>
      </w:pPr>
      <w:r>
        <w:t>15. Proposed Evaluation Criteria</w:t>
      </w:r>
    </w:p>
    <w:p>
      <w:pPr/>
      <w:r>
        <w:t>Before a stable public release, the toolkit should be evaluated on whether it is usable without specialist interpretation, produces observable evidence rather than narrative opinion, exposes integration assumptions early, supports operational handover, and can be maintained as technologies and organizational requirements change.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160"/>
            <w:tcMar>
              <w:top w:w="70" w:type="dxa"/>
              <w:start w:w="70" w:type="dxa"/>
              <w:bottom w:w="70" w:type="dxa"/>
              <w:end w:w="70" w:type="dxa"/>
            </w:tcMar>
            <w:vAlign w:val="center"/>
            <w:shd w:fill="44403C"/>
          </w:tcPr>
          <w:p>
            <w:pPr>
              <w:spacing w:after="0" w:before="0"/>
            </w:pPr>
            <w:r>
              <w:rPr>
                <w:rFonts w:ascii="Arial" w:hAnsi="Arial"/>
                <w:b/>
                <w:color w:val="FFFFFF"/>
                <w:sz w:val="16"/>
              </w:rPr>
              <w:t>Criterion</w:t>
            </w:r>
          </w:p>
        </w:tc>
        <w:tc>
          <w:tcPr>
            <w:tcW w:type="dxa" w:w="6912"/>
            <w:tcMar>
              <w:top w:w="70" w:type="dxa"/>
              <w:start w:w="70" w:type="dxa"/>
              <w:bottom w:w="70" w:type="dxa"/>
              <w:end w:w="70" w:type="dxa"/>
            </w:tcMar>
            <w:vAlign w:val="center"/>
            <w:shd w:fill="44403C"/>
          </w:tcPr>
          <w:p>
            <w:pPr>
              <w:spacing w:after="0" w:before="0"/>
            </w:pPr>
            <w:r>
              <w:rPr>
                <w:rFonts w:ascii="Arial" w:hAnsi="Arial"/>
                <w:b/>
                <w:color w:val="FFFFFF"/>
                <w:sz w:val="16"/>
              </w:rPr>
              <w:t>Question</w:t>
            </w:r>
          </w:p>
        </w:tc>
      </w:tr>
      <w:tr>
        <w:trPr>
          <w:cantSplit/>
        </w:trPr>
        <w:tc>
          <w:tcPr>
            <w:tcW w:type="dxa" w:w="2160"/>
            <w:tcMar>
              <w:top w:w="70" w:type="dxa"/>
              <w:start w:w="70" w:type="dxa"/>
              <w:bottom w:w="70" w:type="dxa"/>
              <w:end w:w="70" w:type="dxa"/>
            </w:tcMar>
            <w:vAlign w:val="center"/>
          </w:tcPr>
          <w:p>
            <w:pPr>
              <w:spacing w:after="0" w:before="0"/>
            </w:pPr>
            <w:r>
              <w:rPr>
                <w:rFonts w:ascii="Arial" w:hAnsi="Arial"/>
                <w:sz w:val="16"/>
              </w:rPr>
              <w:t>Usability</w:t>
            </w:r>
          </w:p>
        </w:tc>
        <w:tc>
          <w:tcPr>
            <w:tcW w:type="dxa" w:w="6912"/>
            <w:tcMar>
              <w:top w:w="70" w:type="dxa"/>
              <w:start w:w="70" w:type="dxa"/>
              <w:bottom w:w="70" w:type="dxa"/>
              <w:end w:w="70" w:type="dxa"/>
            </w:tcMar>
            <w:vAlign w:val="center"/>
          </w:tcPr>
          <w:p>
            <w:pPr>
              <w:spacing w:after="0" w:before="0"/>
            </w:pPr>
            <w:r>
              <w:rPr>
                <w:rFonts w:ascii="Arial" w:hAnsi="Arial"/>
                <w:sz w:val="16"/>
              </w:rPr>
              <w:t>Can a small IT/security team complete the artifact without consultant interpretation?</w:t>
            </w:r>
          </w:p>
        </w:tc>
      </w:tr>
      <w:tr>
        <w:trPr>
          <w:cantSplit/>
        </w:trPr>
        <w:tc>
          <w:tcPr>
            <w:tcW w:type="dxa" w:w="2160"/>
            <w:tcMar>
              <w:top w:w="70" w:type="dxa"/>
              <w:start w:w="70" w:type="dxa"/>
              <w:bottom w:w="70" w:type="dxa"/>
              <w:end w:w="70" w:type="dxa"/>
            </w:tcMar>
            <w:vAlign w:val="center"/>
            <w:shd w:fill="F5F3EF"/>
          </w:tcPr>
          <w:p>
            <w:pPr>
              <w:spacing w:after="0" w:before="0"/>
            </w:pPr>
            <w:r>
              <w:rPr>
                <w:rFonts w:ascii="Arial" w:hAnsi="Arial"/>
                <w:sz w:val="16"/>
              </w:rPr>
              <w:t>Clarity</w:t>
            </w:r>
          </w:p>
        </w:tc>
        <w:tc>
          <w:tcPr>
            <w:tcW w:type="dxa" w:w="6912"/>
            <w:tcMar>
              <w:top w:w="70" w:type="dxa"/>
              <w:start w:w="70" w:type="dxa"/>
              <w:bottom w:w="70" w:type="dxa"/>
              <w:end w:w="70" w:type="dxa"/>
            </w:tcMar>
            <w:vAlign w:val="center"/>
            <w:shd w:fill="F5F3EF"/>
          </w:tcPr>
          <w:p>
            <w:pPr>
              <w:spacing w:after="0" w:before="0"/>
            </w:pPr>
            <w:r>
              <w:rPr>
                <w:rFonts w:ascii="Arial" w:hAnsi="Arial"/>
                <w:sz w:val="16"/>
              </w:rPr>
              <w:t>Do users understand the difference between a temporary exception and an accepted long-term risk?</w:t>
            </w:r>
          </w:p>
        </w:tc>
      </w:tr>
      <w:tr>
        <w:trPr>
          <w:cantSplit/>
        </w:trPr>
        <w:tc>
          <w:tcPr>
            <w:tcW w:type="dxa" w:w="2160"/>
            <w:tcMar>
              <w:top w:w="70" w:type="dxa"/>
              <w:start w:w="70" w:type="dxa"/>
              <w:bottom w:w="70" w:type="dxa"/>
              <w:end w:w="70" w:type="dxa"/>
            </w:tcMar>
            <w:vAlign w:val="center"/>
          </w:tcPr>
          <w:p>
            <w:pPr>
              <w:spacing w:after="0" w:before="0"/>
            </w:pPr>
            <w:r>
              <w:rPr>
                <w:rFonts w:ascii="Arial" w:hAnsi="Arial"/>
                <w:sz w:val="16"/>
              </w:rPr>
              <w:t>Evidence quality</w:t>
            </w:r>
          </w:p>
        </w:tc>
        <w:tc>
          <w:tcPr>
            <w:tcW w:type="dxa" w:w="6912"/>
            <w:tcMar>
              <w:top w:w="70" w:type="dxa"/>
              <w:start w:w="70" w:type="dxa"/>
              <w:bottom w:w="70" w:type="dxa"/>
              <w:end w:w="70" w:type="dxa"/>
            </w:tcMar>
            <w:vAlign w:val="center"/>
          </w:tcPr>
          <w:p>
            <w:pPr>
              <w:spacing w:after="0" w:before="0"/>
            </w:pPr>
            <w:r>
              <w:rPr>
                <w:rFonts w:ascii="Arial" w:hAnsi="Arial"/>
                <w:sz w:val="16"/>
              </w:rPr>
              <w:t>Does each item point to observable evidence rather than narrative opinion?</w:t>
            </w:r>
          </w:p>
        </w:tc>
      </w:tr>
      <w:tr>
        <w:trPr>
          <w:cantSplit/>
        </w:trPr>
        <w:tc>
          <w:tcPr>
            <w:tcW w:type="dxa" w:w="2160"/>
            <w:tcMar>
              <w:top w:w="70" w:type="dxa"/>
              <w:start w:w="70" w:type="dxa"/>
              <w:bottom w:w="70" w:type="dxa"/>
              <w:end w:w="70" w:type="dxa"/>
            </w:tcMar>
            <w:vAlign w:val="center"/>
            <w:shd w:fill="F5F3EF"/>
          </w:tcPr>
          <w:p>
            <w:pPr>
              <w:spacing w:after="0" w:before="0"/>
            </w:pPr>
            <w:r>
              <w:rPr>
                <w:rFonts w:ascii="Arial" w:hAnsi="Arial"/>
                <w:sz w:val="16"/>
              </w:rPr>
              <w:t>Interoperability</w:t>
            </w:r>
          </w:p>
        </w:tc>
        <w:tc>
          <w:tcPr>
            <w:tcW w:type="dxa" w:w="6912"/>
            <w:tcMar>
              <w:top w:w="70" w:type="dxa"/>
              <w:start w:w="70" w:type="dxa"/>
              <w:bottom w:w="70" w:type="dxa"/>
              <w:end w:w="70" w:type="dxa"/>
            </w:tcMar>
            <w:vAlign w:val="center"/>
            <w:shd w:fill="F5F3EF"/>
          </w:tcPr>
          <w:p>
            <w:pPr>
              <w:spacing w:after="0" w:before="0"/>
            </w:pPr>
            <w:r>
              <w:rPr>
                <w:rFonts w:ascii="Arial" w:hAnsi="Arial"/>
                <w:sz w:val="16"/>
              </w:rPr>
              <w:t>Does the integration checklist expose signal and policy-flow assumptions before deployment?</w:t>
            </w:r>
          </w:p>
        </w:tc>
      </w:tr>
      <w:tr>
        <w:trPr>
          <w:cantSplit/>
        </w:trPr>
        <w:tc>
          <w:tcPr>
            <w:tcW w:type="dxa" w:w="2160"/>
            <w:tcMar>
              <w:top w:w="70" w:type="dxa"/>
              <w:start w:w="70" w:type="dxa"/>
              <w:bottom w:w="70" w:type="dxa"/>
              <w:end w:w="70" w:type="dxa"/>
            </w:tcMar>
            <w:vAlign w:val="center"/>
          </w:tcPr>
          <w:p>
            <w:pPr>
              <w:spacing w:after="0" w:before="0"/>
            </w:pPr>
            <w:r>
              <w:rPr>
                <w:rFonts w:ascii="Arial" w:hAnsi="Arial"/>
                <w:sz w:val="16"/>
              </w:rPr>
              <w:t>Handover</w:t>
            </w:r>
          </w:p>
        </w:tc>
        <w:tc>
          <w:tcPr>
            <w:tcW w:type="dxa" w:w="6912"/>
            <w:tcMar>
              <w:top w:w="70" w:type="dxa"/>
              <w:start w:w="70" w:type="dxa"/>
              <w:bottom w:w="70" w:type="dxa"/>
              <w:end w:w="70" w:type="dxa"/>
            </w:tcMar>
            <w:vAlign w:val="center"/>
          </w:tcPr>
          <w:p>
            <w:pPr>
              <w:spacing w:after="0" w:before="0"/>
            </w:pPr>
            <w:r>
              <w:rPr>
                <w:rFonts w:ascii="Arial" w:hAnsi="Arial"/>
                <w:sz w:val="16"/>
              </w:rPr>
              <w:t>Can internal staff perform core tasks after guided transfer?</w:t>
            </w:r>
          </w:p>
        </w:tc>
      </w:tr>
      <w:tr>
        <w:trPr>
          <w:cantSplit/>
        </w:trPr>
        <w:tc>
          <w:tcPr>
            <w:tcW w:type="dxa" w:w="2160"/>
            <w:tcMar>
              <w:top w:w="70" w:type="dxa"/>
              <w:start w:w="70" w:type="dxa"/>
              <w:bottom w:w="70" w:type="dxa"/>
              <w:end w:w="70" w:type="dxa"/>
            </w:tcMar>
            <w:vAlign w:val="center"/>
            <w:shd w:fill="F5F3EF"/>
          </w:tcPr>
          <w:p>
            <w:pPr>
              <w:spacing w:after="0" w:before="0"/>
            </w:pPr>
            <w:r>
              <w:rPr>
                <w:rFonts w:ascii="Arial" w:hAnsi="Arial"/>
                <w:sz w:val="16"/>
              </w:rPr>
              <w:t>Maintenance</w:t>
            </w:r>
          </w:p>
        </w:tc>
        <w:tc>
          <w:tcPr>
            <w:tcW w:type="dxa" w:w="6912"/>
            <w:tcMar>
              <w:top w:w="70" w:type="dxa"/>
              <w:start w:w="70" w:type="dxa"/>
              <w:bottom w:w="70" w:type="dxa"/>
              <w:end w:w="70" w:type="dxa"/>
            </w:tcMar>
            <w:vAlign w:val="center"/>
            <w:shd w:fill="F5F3EF"/>
          </w:tcPr>
          <w:p>
            <w:pPr>
              <w:spacing w:after="0" w:before="0"/>
            </w:pPr>
            <w:r>
              <w:rPr>
                <w:rFonts w:ascii="Arial" w:hAnsi="Arial"/>
                <w:sz w:val="16"/>
              </w:rPr>
              <w:t>Can the toolkit be updated as technologies, threats, and organizational requirements change?</w:t>
            </w:r>
          </w:p>
        </w:tc>
      </w:tr>
    </w:tbl>
    <w:p>
      <w:pPr>
        <w:pStyle w:val="Heading1"/>
      </w:pPr>
      <w:r>
        <w:t>16. Limitations and Non-Claims</w:t>
      </w:r>
    </w:p>
    <w:p>
      <w:pPr>
        <w:pStyle w:val="ListBullet"/>
        <w:spacing w:after="40"/>
      </w:pPr>
      <w:r>
        <w:rPr>
          <w:rFonts w:ascii="Cambria" w:hAnsi="Cambria"/>
          <w:b w:val="0"/>
          <w:i w:val="0"/>
          <w:color w:val="262626"/>
          <w:sz w:val="20"/>
        </w:rPr>
        <w:t>This toolkit is not a cybersecurity certification or compliance determination.</w:t>
      </w:r>
    </w:p>
    <w:p>
      <w:pPr>
        <w:pStyle w:val="ListBullet"/>
        <w:spacing w:after="40"/>
      </w:pPr>
      <w:r>
        <w:rPr>
          <w:rFonts w:ascii="Cambria" w:hAnsi="Cambria"/>
          <w:b w:val="0"/>
          <w:i w:val="0"/>
          <w:color w:val="262626"/>
          <w:sz w:val="20"/>
        </w:rPr>
        <w:t>It does not replace NIST SP 1800-35, NIST SP 800-207, formal data-classification guidance, enterprise risk-management processes, privacy review, or legal review.</w:t>
      </w:r>
    </w:p>
    <w:p>
      <w:pPr>
        <w:pStyle w:val="ListBullet"/>
        <w:spacing w:after="40"/>
      </w:pPr>
      <w:r>
        <w:rPr>
          <w:rFonts w:ascii="Cambria" w:hAnsi="Cambria"/>
          <w:b w:val="0"/>
          <w:i w:val="0"/>
          <w:color w:val="262626"/>
          <w:sz w:val="20"/>
        </w:rPr>
        <w:t>It does not constitute a FedRAMP authorization package, audit opinion, or guarantee of breach prevention.</w:t>
      </w:r>
    </w:p>
    <w:p>
      <w:pPr>
        <w:pStyle w:val="ListBullet"/>
        <w:spacing w:after="40"/>
      </w:pPr>
      <w:r>
        <w:rPr>
          <w:rFonts w:ascii="Cambria" w:hAnsi="Cambria"/>
          <w:b w:val="0"/>
          <w:i w:val="0"/>
          <w:color w:val="262626"/>
          <w:sz w:val="20"/>
        </w:rPr>
        <w:t>It does not claim endorsement, approval, certification, or validation by NIST, NCCoE, CISA, or any other government entity.</w:t>
      </w:r>
    </w:p>
    <w:p>
      <w:pPr>
        <w:pStyle w:val="ListBullet"/>
        <w:spacing w:after="40"/>
      </w:pPr>
      <w:r>
        <w:rPr>
          <w:rFonts w:ascii="Cambria" w:hAnsi="Cambria"/>
          <w:b w:val="0"/>
          <w:i w:val="0"/>
          <w:color w:val="262626"/>
          <w:sz w:val="20"/>
        </w:rPr>
        <w:t>Hypothetical examples are illustrative only and should not be presented as results from a real organization.</w:t>
      </w:r>
    </w:p>
    <w:p>
      <w:pPr>
        <w:pStyle w:val="ListBullet"/>
        <w:spacing w:after="40"/>
      </w:pPr>
      <w:r>
        <w:rPr>
          <w:rFonts w:ascii="Cambria" w:hAnsi="Cambria"/>
          <w:b w:val="0"/>
          <w:i w:val="0"/>
          <w:color w:val="262626"/>
          <w:sz w:val="20"/>
        </w:rPr>
        <w:t>Organizations should adapt the templates to their own mission, risk tolerance, architecture, regulatory obligations, and operating model.</w:t>
      </w:r>
    </w:p>
    <w:p>
      <w:pPr/>
      <w:r>
        <w:t>The immediate request is narrow: feedback on whether the gap analysis and artifacts address a useful implementation need complementary to SP 1800-35. If the concept is useful, the proposed next step is to publish the v0.1 repository, run one or two non-sensitive pilots, capture implementation feedback, and revise the toolkit transparently.</w:t>
      </w:r>
    </w:p>
    <w:p>
      <w:pPr>
        <w:pStyle w:val="Heading2"/>
      </w:pPr>
      <w:r>
        <w:t>Requested Feedback / Proposed Next Step</w:t>
      </w:r>
    </w:p>
    <w:p>
      <w:pPr>
        <w:spacing w:after="40"/>
      </w:pPr>
      <w:r>
        <w:rPr>
          <w:rFonts w:ascii="Cambria" w:hAnsi="Cambria"/>
          <w:b w:val="0"/>
          <w:i w:val="0"/>
          <w:color w:val="262626"/>
          <w:sz w:val="19"/>
        </w:rPr>
        <w:t>1.  Do these artifacts complement the implementation focus of SP 1800-35 without duplicating existing NIST/NCCoE material?</w:t>
      </w:r>
    </w:p>
    <w:p>
      <w:pPr>
        <w:spacing w:after="40"/>
      </w:pPr>
      <w:r>
        <w:rPr>
          <w:rFonts w:ascii="Cambria" w:hAnsi="Cambria"/>
          <w:b w:val="0"/>
          <w:i w:val="0"/>
          <w:color w:val="262626"/>
          <w:sz w:val="19"/>
        </w:rPr>
        <w:t>2.  Are the transition-risk ownership and retirement fields sufficient for practical use?</w:t>
      </w:r>
    </w:p>
    <w:p>
      <w:pPr>
        <w:spacing w:after="40"/>
      </w:pPr>
      <w:r>
        <w:rPr>
          <w:rFonts w:ascii="Cambria" w:hAnsi="Cambria"/>
          <w:b w:val="0"/>
          <w:i w:val="0"/>
          <w:color w:val="262626"/>
          <w:sz w:val="19"/>
        </w:rPr>
        <w:t>3.  Does the migration sequencing worksheet stay appropriately outside formal data classification while still adding operational value?</w:t>
      </w:r>
    </w:p>
    <w:p>
      <w:pPr>
        <w:spacing w:after="40"/>
      </w:pPr>
      <w:r>
        <w:rPr>
          <w:rFonts w:ascii="Cambria" w:hAnsi="Cambria"/>
          <w:b w:val="0"/>
          <w:i w:val="0"/>
          <w:color w:val="262626"/>
          <w:sz w:val="19"/>
        </w:rPr>
        <w:t>4.  Are the integration-readiness questions sufficiently vendor-neutral?</w:t>
      </w:r>
    </w:p>
    <w:p>
      <w:pPr>
        <w:spacing w:after="40"/>
      </w:pPr>
      <w:r>
        <w:rPr>
          <w:rFonts w:ascii="Cambria" w:hAnsi="Cambria"/>
          <w:b w:val="0"/>
          <w:i w:val="0"/>
          <w:color w:val="262626"/>
          <w:sz w:val="19"/>
        </w:rPr>
        <w:t>5.  Does the test-case library capture the right minimum validation scenarios for incremental rollout?</w:t>
      </w:r>
    </w:p>
    <w:p>
      <w:pPr>
        <w:spacing w:after="40"/>
      </w:pPr>
      <w:r>
        <w:rPr>
          <w:rFonts w:ascii="Cambria" w:hAnsi="Cambria"/>
          <w:b w:val="0"/>
          <w:i w:val="0"/>
          <w:color w:val="262626"/>
          <w:sz w:val="19"/>
        </w:rPr>
        <w:t>6.  What should be removed, added, or simplified before a v1.0 public release?</w:t>
      </w:r>
    </w:p>
    <w:p>
      <w:pPr>
        <w:pStyle w:val="Heading1"/>
      </w:pPr>
      <w:r>
        <w:t>17. References</w:t>
      </w:r>
    </w:p>
    <w:p>
      <w:r>
        <w:rPr>
          <w:rFonts w:ascii="Cambria" w:hAnsi="Cambria"/>
          <w:b w:val="0"/>
          <w:i w:val="0"/>
          <w:color w:val="262626"/>
          <w:sz w:val="19"/>
        </w:rPr>
        <w:t>1. NIST Special Publication 1800-35, Implementing a Zero Trust Architecture, Final, June 2025. DOI: 10.6028/NIST.SP.1800-35.</w:t>
      </w:r>
    </w:p>
    <w:p>
      <w:r>
        <w:rPr>
          <w:rFonts w:ascii="Cambria" w:hAnsi="Cambria"/>
          <w:b w:val="0"/>
          <w:i w:val="0"/>
          <w:color w:val="262626"/>
          <w:sz w:val="19"/>
        </w:rPr>
        <w:t>2. NIST Special Publication 800-207, Zero Trust Architecture, August 2020.</w:t>
      </w:r>
    </w:p>
    <w:p>
      <w:r>
        <w:rPr>
          <w:rFonts w:ascii="Cambria" w:hAnsi="Cambria"/>
          <w:b w:val="0"/>
          <w:i w:val="0"/>
          <w:color w:val="262626"/>
          <w:sz w:val="19"/>
        </w:rPr>
        <w:t>3. NIST Cybersecurity Framework (CSF) 2.0, February 2024.</w:t>
      </w:r>
    </w:p>
    <w:p>
      <w:r>
        <w:rPr>
          <w:rFonts w:ascii="Cambria" w:hAnsi="Cambria"/>
          <w:b w:val="0"/>
          <w:i w:val="0"/>
          <w:color w:val="262626"/>
          <w:sz w:val="19"/>
        </w:rPr>
        <w:t>4. NIST Special Publication 800-53 Revision 5, Security and Privacy Controls for Information Systems and Organizations.</w:t>
      </w:r>
    </w:p>
    <w:p>
      <w:pPr>
        <w:spacing w:before="200" w:after="20"/>
        <w:ind w:left="220"/>
      </w:pPr>
      <w:r>
        <w:rPr>
          <w:rFonts w:ascii="Cambria" w:hAnsi="Cambria"/>
          <w:b/>
          <w:i w:val="0"/>
          <w:color w:val="262626"/>
          <w:sz w:val="21"/>
        </w:rPr>
        <w:t>Feedback channel in SP 1800-35.</w:t>
      </w:r>
    </w:p>
    <w:p>
      <w:pPr>
        <w:spacing w:before="20" w:after="140"/>
        <w:ind w:left="220"/>
      </w:pPr>
      <w:r>
        <w:rPr>
          <w:rFonts w:ascii="Cambria" w:hAnsi="Cambria"/>
          <w:b w:val="0"/>
          <w:i/>
          <w:color w:val="262626"/>
          <w:sz w:val="19"/>
        </w:rPr>
        <w:t>The final SP 1800-35 document states that comments on the publication may be submitted to the NCCoE Zero Trust Architecture project email identified in the publication. Any outreach should be framed as a request for technical feedback, not as a request for endorsement.</w:t>
      </w:r>
    </w:p>
    <w:p>
      <w:r>
        <w:br w:type="page"/>
      </w:r>
    </w:p>
    <w:p>
      <w:pPr>
        <w:pStyle w:val="Heading1"/>
      </w:pPr>
      <w:r>
        <w:rPr>
          <w:rFonts w:ascii="Cambria" w:hAnsi="Cambria"/>
          <w:b/>
          <w:i w:val="0"/>
          <w:color w:val="262626"/>
          <w:sz w:val="32"/>
        </w:rPr>
        <w:t>Appendix A. Companion Editable Artifacts</w:t>
      </w:r>
    </w:p>
    <w:tbl>
      <w:tblPr>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tcMar>
              <w:top w:w="55" w:type="dxa"/>
              <w:start w:w="55" w:type="dxa"/>
              <w:bottom w:w="55" w:type="dxa"/>
              <w:end w:w="55" w:type="dxa"/>
            </w:tcMar>
            <w:vAlign w:val="center"/>
            <w:shd w:fill="44403C"/>
          </w:tcPr>
          <w:p>
            <w:pPr>
              <w:spacing w:after="0"/>
            </w:pPr>
            <w:r>
              <w:rPr>
                <w:rFonts w:ascii="Cambria" w:hAnsi="Cambria"/>
                <w:b/>
                <w:i w:val="0"/>
                <w:color w:val="FFFFFF"/>
                <w:sz w:val="17"/>
              </w:rPr>
              <w:t>Artifact</w:t>
            </w:r>
          </w:p>
        </w:tc>
        <w:tc>
          <w:tcPr>
            <w:tcW w:type="dxa" w:w="3389"/>
            <w:tcMar>
              <w:top w:w="55" w:type="dxa"/>
              <w:start w:w="55" w:type="dxa"/>
              <w:bottom w:w="55" w:type="dxa"/>
              <w:end w:w="55" w:type="dxa"/>
            </w:tcMar>
            <w:vAlign w:val="center"/>
            <w:shd w:fill="44403C"/>
          </w:tcPr>
          <w:p>
            <w:pPr>
              <w:spacing w:after="0"/>
            </w:pPr>
            <w:r>
              <w:rPr>
                <w:rFonts w:ascii="Cambria" w:hAnsi="Cambria"/>
                <w:b/>
                <w:i w:val="0"/>
                <w:color w:val="FFFFFF"/>
                <w:sz w:val="17"/>
              </w:rPr>
              <w:t>Format</w:t>
            </w:r>
          </w:p>
        </w:tc>
        <w:tc>
          <w:tcPr>
            <w:tcW w:type="dxa" w:w="3389"/>
            <w:tcMar>
              <w:top w:w="55" w:type="dxa"/>
              <w:start w:w="55" w:type="dxa"/>
              <w:bottom w:w="55" w:type="dxa"/>
              <w:end w:w="55" w:type="dxa"/>
            </w:tcMar>
            <w:vAlign w:val="center"/>
            <w:shd w:fill="44403C"/>
          </w:tcPr>
          <w:p>
            <w:pPr>
              <w:spacing w:after="0"/>
            </w:pPr>
            <w:r>
              <w:rPr>
                <w:rFonts w:ascii="Cambria" w:hAnsi="Cambria"/>
                <w:b/>
                <w:i w:val="0"/>
                <w:color w:val="FFFFFF"/>
                <w:sz w:val="17"/>
              </w:rPr>
              <w:t>Primary Use</w:t>
            </w:r>
          </w:p>
        </w:tc>
      </w:tr>
      <w:tr>
        <w:trPr>
          <w:cantSplit/>
        </w:trPr>
        <w:tc>
          <w:tcPr>
            <w:tcW w:type="dxa" w:w="3389"/>
            <w:tcMar>
              <w:top w:w="55" w:type="dxa"/>
              <w:start w:w="55" w:type="dxa"/>
              <w:bottom w:w="55" w:type="dxa"/>
              <w:end w:w="55" w:type="dxa"/>
            </w:tcMar>
            <w:vAlign w:val="center"/>
          </w:tcPr>
          <w:p>
            <w:pPr>
              <w:spacing w:after="0"/>
            </w:pPr>
            <w:r>
              <w:rPr>
                <w:rFonts w:ascii="Cambria" w:hAnsi="Cambria"/>
                <w:b w:val="0"/>
                <w:i w:val="0"/>
                <w:color w:val="262626"/>
                <w:sz w:val="17"/>
              </w:rPr>
              <w:t>Zero Trust Transition Readiness Scorecard</w:t>
            </w:r>
          </w:p>
        </w:tc>
        <w:tc>
          <w:tcPr>
            <w:tcW w:type="dxa" w:w="3389"/>
            <w:tcMar>
              <w:top w:w="55" w:type="dxa"/>
              <w:start w:w="55" w:type="dxa"/>
              <w:bottom w:w="55" w:type="dxa"/>
              <w:end w:w="55" w:type="dxa"/>
            </w:tcMar>
            <w:vAlign w:val="center"/>
          </w:tcPr>
          <w:p>
            <w:pPr>
              <w:spacing w:after="0"/>
            </w:pPr>
            <w:r>
              <w:rPr>
                <w:rFonts w:ascii="Cambria" w:hAnsi="Cambria"/>
                <w:b w:val="0"/>
                <w:i w:val="0"/>
                <w:color w:val="262626"/>
                <w:sz w:val="17"/>
              </w:rPr>
              <w:t>XLSX</w:t>
            </w:r>
          </w:p>
        </w:tc>
        <w:tc>
          <w:tcPr>
            <w:tcW w:type="dxa" w:w="3389"/>
            <w:tcMar>
              <w:top w:w="55" w:type="dxa"/>
              <w:start w:w="55" w:type="dxa"/>
              <w:bottom w:w="55" w:type="dxa"/>
              <w:end w:w="55" w:type="dxa"/>
            </w:tcMar>
            <w:vAlign w:val="center"/>
          </w:tcPr>
          <w:p>
            <w:pPr>
              <w:spacing w:after="0"/>
            </w:pPr>
            <w:r>
              <w:rPr>
                <w:rFonts w:ascii="Cambria" w:hAnsi="Cambria"/>
                <w:b w:val="0"/>
                <w:i w:val="0"/>
                <w:color w:val="262626"/>
                <w:sz w:val="17"/>
              </w:rPr>
              <w:t>Scoring, evidence capture, target maturity</w:t>
            </w:r>
          </w:p>
        </w:tc>
      </w:tr>
      <w:tr>
        <w:trPr>
          <w:cantSplit/>
        </w:trPr>
        <w:tc>
          <w:tcPr>
            <w:tcW w:type="dxa" w:w="3389"/>
            <w:tcMar>
              <w:top w:w="55" w:type="dxa"/>
              <w:start w:w="55" w:type="dxa"/>
              <w:bottom w:w="55" w:type="dxa"/>
              <w:end w:w="55" w:type="dxa"/>
            </w:tcMar>
            <w:vAlign w:val="center"/>
            <w:shd w:fill="F6F4F0"/>
          </w:tcPr>
          <w:p>
            <w:pPr>
              <w:spacing w:after="0"/>
            </w:pPr>
            <w:r>
              <w:rPr>
                <w:rFonts w:ascii="Cambria" w:hAnsi="Cambria"/>
                <w:b w:val="0"/>
                <w:i w:val="0"/>
                <w:color w:val="262626"/>
                <w:sz w:val="17"/>
              </w:rPr>
              <w:t>Transition-State Risk Register</w:t>
            </w:r>
          </w:p>
        </w:tc>
        <w:tc>
          <w:tcPr>
            <w:tcW w:type="dxa" w:w="3389"/>
            <w:tcMar>
              <w:top w:w="55" w:type="dxa"/>
              <w:start w:w="55" w:type="dxa"/>
              <w:bottom w:w="55" w:type="dxa"/>
              <w:end w:w="55" w:type="dxa"/>
            </w:tcMar>
            <w:vAlign w:val="center"/>
            <w:shd w:fill="F6F4F0"/>
          </w:tcPr>
          <w:p>
            <w:pPr>
              <w:spacing w:after="0"/>
            </w:pPr>
            <w:r>
              <w:rPr>
                <w:rFonts w:ascii="Cambria" w:hAnsi="Cambria"/>
                <w:b w:val="0"/>
                <w:i w:val="0"/>
                <w:color w:val="262626"/>
                <w:sz w:val="17"/>
              </w:rPr>
              <w:t>XLSX</w:t>
            </w:r>
          </w:p>
        </w:tc>
        <w:tc>
          <w:tcPr>
            <w:tcW w:type="dxa" w:w="3389"/>
            <w:tcMar>
              <w:top w:w="55" w:type="dxa"/>
              <w:start w:w="55" w:type="dxa"/>
              <w:bottom w:w="55" w:type="dxa"/>
              <w:end w:w="55" w:type="dxa"/>
            </w:tcMar>
            <w:vAlign w:val="center"/>
            <w:shd w:fill="F6F4F0"/>
          </w:tcPr>
          <w:p>
            <w:pPr>
              <w:spacing w:after="0"/>
            </w:pPr>
            <w:r>
              <w:rPr>
                <w:rFonts w:ascii="Cambria" w:hAnsi="Cambria"/>
                <w:b w:val="0"/>
                <w:i w:val="0"/>
                <w:color w:val="262626"/>
                <w:sz w:val="17"/>
              </w:rPr>
              <w:t>Exception ownership, monitoring, expiry, retirement</w:t>
            </w:r>
          </w:p>
        </w:tc>
      </w:tr>
      <w:tr>
        <w:trPr>
          <w:cantSplit/>
        </w:trPr>
        <w:tc>
          <w:tcPr>
            <w:tcW w:type="dxa" w:w="3389"/>
            <w:tcMar>
              <w:top w:w="55" w:type="dxa"/>
              <w:start w:w="55" w:type="dxa"/>
              <w:bottom w:w="55" w:type="dxa"/>
              <w:end w:w="55" w:type="dxa"/>
            </w:tcMar>
            <w:vAlign w:val="center"/>
          </w:tcPr>
          <w:p>
            <w:pPr>
              <w:spacing w:after="0"/>
            </w:pPr>
            <w:r>
              <w:rPr>
                <w:rFonts w:ascii="Cambria" w:hAnsi="Cambria"/>
                <w:b w:val="0"/>
                <w:i w:val="0"/>
                <w:color w:val="262626"/>
                <w:sz w:val="17"/>
              </w:rPr>
              <w:t>Data Sensitivity &amp; Migration Sequencing</w:t>
            </w:r>
          </w:p>
        </w:tc>
        <w:tc>
          <w:tcPr>
            <w:tcW w:type="dxa" w:w="3389"/>
            <w:tcMar>
              <w:top w:w="55" w:type="dxa"/>
              <w:start w:w="55" w:type="dxa"/>
              <w:bottom w:w="55" w:type="dxa"/>
              <w:end w:w="55" w:type="dxa"/>
            </w:tcMar>
            <w:vAlign w:val="center"/>
          </w:tcPr>
          <w:p>
            <w:pPr>
              <w:spacing w:after="0"/>
            </w:pPr>
            <w:r>
              <w:rPr>
                <w:rFonts w:ascii="Cambria" w:hAnsi="Cambria"/>
                <w:b w:val="0"/>
                <w:i w:val="0"/>
                <w:color w:val="262626"/>
                <w:sz w:val="17"/>
              </w:rPr>
              <w:t>XLSX</w:t>
            </w:r>
          </w:p>
        </w:tc>
        <w:tc>
          <w:tcPr>
            <w:tcW w:type="dxa" w:w="3389"/>
            <w:tcMar>
              <w:top w:w="55" w:type="dxa"/>
              <w:start w:w="55" w:type="dxa"/>
              <w:bottom w:w="55" w:type="dxa"/>
              <w:end w:w="55" w:type="dxa"/>
            </w:tcMar>
            <w:vAlign w:val="center"/>
          </w:tcPr>
          <w:p>
            <w:pPr>
              <w:spacing w:after="0"/>
            </w:pPr>
            <w:r>
              <w:rPr>
                <w:rFonts w:ascii="Cambria" w:hAnsi="Cambria"/>
                <w:b w:val="0"/>
                <w:i w:val="0"/>
                <w:color w:val="262626"/>
                <w:sz w:val="17"/>
              </w:rPr>
              <w:t>Workload sequencing using approved sensitivity and readiness</w:t>
            </w:r>
          </w:p>
        </w:tc>
      </w:tr>
      <w:tr>
        <w:trPr>
          <w:cantSplit/>
        </w:trPr>
        <w:tc>
          <w:tcPr>
            <w:tcW w:type="dxa" w:w="3389"/>
            <w:tcMar>
              <w:top w:w="55" w:type="dxa"/>
              <w:start w:w="55" w:type="dxa"/>
              <w:bottom w:w="55" w:type="dxa"/>
              <w:end w:w="55" w:type="dxa"/>
            </w:tcMar>
            <w:vAlign w:val="center"/>
            <w:shd w:fill="F6F4F0"/>
          </w:tcPr>
          <w:p>
            <w:pPr>
              <w:spacing w:after="0"/>
            </w:pPr>
            <w:r>
              <w:rPr>
                <w:rFonts w:ascii="Cambria" w:hAnsi="Cambria"/>
                <w:b w:val="0"/>
                <w:i w:val="0"/>
                <w:color w:val="262626"/>
                <w:sz w:val="17"/>
              </w:rPr>
              <w:t>Integration Readiness Checklist</w:t>
            </w:r>
          </w:p>
        </w:tc>
        <w:tc>
          <w:tcPr>
            <w:tcW w:type="dxa" w:w="3389"/>
            <w:tcMar>
              <w:top w:w="55" w:type="dxa"/>
              <w:start w:w="55" w:type="dxa"/>
              <w:bottom w:w="55" w:type="dxa"/>
              <w:end w:w="55" w:type="dxa"/>
            </w:tcMar>
            <w:vAlign w:val="center"/>
            <w:shd w:fill="F6F4F0"/>
          </w:tcPr>
          <w:p>
            <w:pPr>
              <w:spacing w:after="0"/>
            </w:pPr>
            <w:r>
              <w:rPr>
                <w:rFonts w:ascii="Cambria" w:hAnsi="Cambria"/>
                <w:b w:val="0"/>
                <w:i w:val="0"/>
                <w:color w:val="262626"/>
                <w:sz w:val="17"/>
              </w:rPr>
              <w:t>CSV</w:t>
            </w:r>
          </w:p>
        </w:tc>
        <w:tc>
          <w:tcPr>
            <w:tcW w:type="dxa" w:w="3389"/>
            <w:tcMar>
              <w:top w:w="55" w:type="dxa"/>
              <w:start w:w="55" w:type="dxa"/>
              <w:bottom w:w="55" w:type="dxa"/>
              <w:end w:w="55" w:type="dxa"/>
            </w:tcMar>
            <w:vAlign w:val="center"/>
            <w:shd w:fill="F6F4F0"/>
          </w:tcPr>
          <w:p>
            <w:pPr>
              <w:spacing w:after="0"/>
            </w:pPr>
            <w:r>
              <w:rPr>
                <w:rFonts w:ascii="Cambria" w:hAnsi="Cambria"/>
                <w:b w:val="0"/>
                <w:i w:val="0"/>
                <w:color w:val="262626"/>
                <w:sz w:val="17"/>
              </w:rPr>
              <w:t>Multi-vendor integration validation</w:t>
            </w:r>
          </w:p>
        </w:tc>
      </w:tr>
      <w:tr>
        <w:trPr>
          <w:cantSplit/>
        </w:trPr>
        <w:tc>
          <w:tcPr>
            <w:tcW w:type="dxa" w:w="3389"/>
            <w:tcMar>
              <w:top w:w="55" w:type="dxa"/>
              <w:start w:w="55" w:type="dxa"/>
              <w:bottom w:w="55" w:type="dxa"/>
              <w:end w:w="55" w:type="dxa"/>
            </w:tcMar>
            <w:vAlign w:val="center"/>
          </w:tcPr>
          <w:p>
            <w:pPr>
              <w:spacing w:after="0"/>
            </w:pPr>
            <w:r>
              <w:rPr>
                <w:rFonts w:ascii="Cambria" w:hAnsi="Cambria"/>
                <w:b w:val="0"/>
                <w:i w:val="0"/>
                <w:color w:val="262626"/>
                <w:sz w:val="17"/>
              </w:rPr>
              <w:t>Zero Trust Transition Test Cases</w:t>
            </w:r>
          </w:p>
        </w:tc>
        <w:tc>
          <w:tcPr>
            <w:tcW w:type="dxa" w:w="3389"/>
            <w:tcMar>
              <w:top w:w="55" w:type="dxa"/>
              <w:start w:w="55" w:type="dxa"/>
              <w:bottom w:w="55" w:type="dxa"/>
              <w:end w:w="55" w:type="dxa"/>
            </w:tcMar>
            <w:vAlign w:val="center"/>
          </w:tcPr>
          <w:p>
            <w:pPr>
              <w:spacing w:after="0"/>
            </w:pPr>
            <w:r>
              <w:rPr>
                <w:rFonts w:ascii="Cambria" w:hAnsi="Cambria"/>
                <w:b w:val="0"/>
                <w:i w:val="0"/>
                <w:color w:val="262626"/>
                <w:sz w:val="17"/>
              </w:rPr>
              <w:t>CSV</w:t>
            </w:r>
          </w:p>
        </w:tc>
        <w:tc>
          <w:tcPr>
            <w:tcW w:type="dxa" w:w="3389"/>
            <w:tcMar>
              <w:top w:w="55" w:type="dxa"/>
              <w:start w:w="55" w:type="dxa"/>
              <w:bottom w:w="55" w:type="dxa"/>
              <w:end w:w="55" w:type="dxa"/>
            </w:tcMar>
            <w:vAlign w:val="center"/>
          </w:tcPr>
          <w:p>
            <w:pPr>
              <w:spacing w:after="0"/>
            </w:pPr>
            <w:r>
              <w:rPr>
                <w:rFonts w:ascii="Cambria" w:hAnsi="Cambria"/>
                <w:b w:val="0"/>
                <w:i w:val="0"/>
                <w:color w:val="262626"/>
                <w:sz w:val="17"/>
              </w:rPr>
              <w:t>Repeatable verification library</w:t>
            </w:r>
          </w:p>
        </w:tc>
      </w:tr>
      <w:tr>
        <w:trPr>
          <w:cantSplit/>
        </w:trPr>
        <w:tc>
          <w:tcPr>
            <w:tcW w:type="dxa" w:w="3389"/>
            <w:tcMar>
              <w:top w:w="55" w:type="dxa"/>
              <w:start w:w="55" w:type="dxa"/>
              <w:bottom w:w="55" w:type="dxa"/>
              <w:end w:w="55" w:type="dxa"/>
            </w:tcMar>
            <w:vAlign w:val="center"/>
            <w:shd w:fill="F6F4F0"/>
          </w:tcPr>
          <w:p>
            <w:pPr>
              <w:spacing w:after="0"/>
            </w:pPr>
            <w:r>
              <w:rPr>
                <w:rFonts w:ascii="Cambria" w:hAnsi="Cambria"/>
                <w:b w:val="0"/>
                <w:i w:val="0"/>
                <w:color w:val="262626"/>
                <w:sz w:val="17"/>
              </w:rPr>
              <w:t>Handover &amp; Operating Model Checklist</w:t>
            </w:r>
          </w:p>
        </w:tc>
        <w:tc>
          <w:tcPr>
            <w:tcW w:type="dxa" w:w="3389"/>
            <w:tcMar>
              <w:top w:w="55" w:type="dxa"/>
              <w:start w:w="55" w:type="dxa"/>
              <w:bottom w:w="55" w:type="dxa"/>
              <w:end w:w="55" w:type="dxa"/>
            </w:tcMar>
            <w:vAlign w:val="center"/>
            <w:shd w:fill="F6F4F0"/>
          </w:tcPr>
          <w:p>
            <w:pPr>
              <w:spacing w:after="0"/>
            </w:pPr>
            <w:r>
              <w:rPr>
                <w:rFonts w:ascii="Cambria" w:hAnsi="Cambria"/>
                <w:b w:val="0"/>
                <w:i w:val="0"/>
                <w:color w:val="262626"/>
                <w:sz w:val="17"/>
              </w:rPr>
              <w:t>Markdown</w:t>
            </w:r>
          </w:p>
        </w:tc>
        <w:tc>
          <w:tcPr>
            <w:tcW w:type="dxa" w:w="3389"/>
            <w:tcMar>
              <w:top w:w="55" w:type="dxa"/>
              <w:start w:w="55" w:type="dxa"/>
              <w:bottom w:w="55" w:type="dxa"/>
              <w:end w:w="55" w:type="dxa"/>
            </w:tcMar>
            <w:vAlign w:val="center"/>
            <w:shd w:fill="F6F4F0"/>
          </w:tcPr>
          <w:p>
            <w:pPr>
              <w:spacing w:after="0"/>
            </w:pPr>
            <w:r>
              <w:rPr>
                <w:rFonts w:ascii="Cambria" w:hAnsi="Cambria"/>
                <w:b w:val="0"/>
                <w:i w:val="0"/>
                <w:color w:val="262626"/>
                <w:sz w:val="17"/>
              </w:rPr>
              <w:t>Operational handover and independence</w:t>
            </w:r>
          </w:p>
        </w:tc>
      </w:tr>
      <w:tr>
        <w:trPr>
          <w:cantSplit/>
        </w:trPr>
        <w:tc>
          <w:tcPr>
            <w:tcW w:type="dxa" w:w="3389"/>
            <w:tcMar>
              <w:top w:w="55" w:type="dxa"/>
              <w:start w:w="55" w:type="dxa"/>
              <w:bottom w:w="55" w:type="dxa"/>
              <w:end w:w="55" w:type="dxa"/>
            </w:tcMar>
            <w:vAlign w:val="center"/>
          </w:tcPr>
          <w:p>
            <w:pPr>
              <w:spacing w:after="0"/>
            </w:pPr>
            <w:r>
              <w:rPr>
                <w:rFonts w:ascii="Cambria" w:hAnsi="Cambria"/>
                <w:b w:val="0"/>
                <w:i w:val="0"/>
                <w:color w:val="262626"/>
                <w:sz w:val="17"/>
              </w:rPr>
              <w:t>Four-Week Pilot Plan</w:t>
            </w:r>
          </w:p>
        </w:tc>
        <w:tc>
          <w:tcPr>
            <w:tcW w:type="dxa" w:w="3389"/>
            <w:tcMar>
              <w:top w:w="55" w:type="dxa"/>
              <w:start w:w="55" w:type="dxa"/>
              <w:bottom w:w="55" w:type="dxa"/>
              <w:end w:w="55" w:type="dxa"/>
            </w:tcMar>
            <w:vAlign w:val="center"/>
          </w:tcPr>
          <w:p>
            <w:pPr>
              <w:spacing w:after="0"/>
            </w:pPr>
            <w:r>
              <w:rPr>
                <w:rFonts w:ascii="Cambria" w:hAnsi="Cambria"/>
                <w:b w:val="0"/>
                <w:i w:val="0"/>
                <w:color w:val="262626"/>
                <w:sz w:val="17"/>
              </w:rPr>
              <w:t>Markdown</w:t>
            </w:r>
          </w:p>
        </w:tc>
        <w:tc>
          <w:tcPr>
            <w:tcW w:type="dxa" w:w="3389"/>
            <w:tcMar>
              <w:top w:w="55" w:type="dxa"/>
              <w:start w:w="55" w:type="dxa"/>
              <w:bottom w:w="55" w:type="dxa"/>
              <w:end w:w="55" w:type="dxa"/>
            </w:tcMar>
            <w:vAlign w:val="center"/>
          </w:tcPr>
          <w:p>
            <w:pPr>
              <w:spacing w:after="0"/>
            </w:pPr>
            <w:r>
              <w:rPr>
                <w:rFonts w:ascii="Cambria" w:hAnsi="Cambria"/>
                <w:b w:val="0"/>
                <w:i w:val="0"/>
                <w:color w:val="262626"/>
                <w:sz w:val="17"/>
              </w:rPr>
              <w:t>Pilot execution</w:t>
            </w:r>
          </w:p>
        </w:tc>
      </w:tr>
      <w:tr>
        <w:trPr>
          <w:cantSplit/>
        </w:trPr>
        <w:tc>
          <w:tcPr>
            <w:tcW w:type="dxa" w:w="3389"/>
            <w:tcMar>
              <w:top w:w="55" w:type="dxa"/>
              <w:start w:w="55" w:type="dxa"/>
              <w:bottom w:w="55" w:type="dxa"/>
              <w:end w:w="55" w:type="dxa"/>
            </w:tcMar>
            <w:vAlign w:val="center"/>
            <w:shd w:fill="F6F4F0"/>
          </w:tcPr>
          <w:p>
            <w:pPr>
              <w:spacing w:after="0"/>
            </w:pPr>
            <w:r>
              <w:rPr>
                <w:rFonts w:ascii="Cambria" w:hAnsi="Cambria"/>
                <w:b w:val="0"/>
                <w:i w:val="0"/>
                <w:color w:val="262626"/>
                <w:sz w:val="17"/>
              </w:rPr>
              <w:t>Pilot Feedback Form</w:t>
            </w:r>
          </w:p>
        </w:tc>
        <w:tc>
          <w:tcPr>
            <w:tcW w:type="dxa" w:w="3389"/>
            <w:tcMar>
              <w:top w:w="55" w:type="dxa"/>
              <w:start w:w="55" w:type="dxa"/>
              <w:bottom w:w="55" w:type="dxa"/>
              <w:end w:w="55" w:type="dxa"/>
            </w:tcMar>
            <w:vAlign w:val="center"/>
            <w:shd w:fill="F6F4F0"/>
          </w:tcPr>
          <w:p>
            <w:pPr>
              <w:spacing w:after="0"/>
            </w:pPr>
            <w:r>
              <w:rPr>
                <w:rFonts w:ascii="Cambria" w:hAnsi="Cambria"/>
                <w:b w:val="0"/>
                <w:i w:val="0"/>
                <w:color w:val="262626"/>
                <w:sz w:val="17"/>
              </w:rPr>
              <w:t>Markdown</w:t>
            </w:r>
          </w:p>
        </w:tc>
        <w:tc>
          <w:tcPr>
            <w:tcW w:type="dxa" w:w="3389"/>
            <w:tcMar>
              <w:top w:w="55" w:type="dxa"/>
              <w:start w:w="55" w:type="dxa"/>
              <w:bottom w:w="55" w:type="dxa"/>
              <w:end w:w="55" w:type="dxa"/>
            </w:tcMar>
            <w:vAlign w:val="center"/>
            <w:shd w:fill="F6F4F0"/>
          </w:tcPr>
          <w:p>
            <w:pPr>
              <w:spacing w:after="0"/>
            </w:pPr>
            <w:r>
              <w:rPr>
                <w:rFonts w:ascii="Cambria" w:hAnsi="Cambria"/>
                <w:b w:val="0"/>
                <w:i w:val="0"/>
                <w:color w:val="262626"/>
                <w:sz w:val="17"/>
              </w:rPr>
              <w:t>Independent feedback and iteration</w:t>
            </w:r>
          </w:p>
        </w:tc>
      </w:tr>
      <w:tr>
        <w:trPr>
          <w:cantSplit/>
        </w:trPr>
        <w:tc>
          <w:tcPr>
            <w:tcW w:type="dxa" w:w="3389"/>
            <w:tcMar>
              <w:top w:w="55" w:type="dxa"/>
              <w:start w:w="55" w:type="dxa"/>
              <w:bottom w:w="55" w:type="dxa"/>
              <w:end w:w="55" w:type="dxa"/>
            </w:tcMar>
            <w:vAlign w:val="center"/>
          </w:tcPr>
          <w:p>
            <w:pPr>
              <w:spacing w:after="0"/>
            </w:pPr>
            <w:r>
              <w:rPr>
                <w:rFonts w:ascii="Cambria" w:hAnsi="Cambria"/>
                <w:b w:val="0"/>
                <w:i w:val="0"/>
                <w:color w:val="262626"/>
                <w:sz w:val="17"/>
              </w:rPr>
              <w:t>NIST SP 1800-35 Alignment Notes</w:t>
            </w:r>
          </w:p>
        </w:tc>
        <w:tc>
          <w:tcPr>
            <w:tcW w:type="dxa" w:w="3389"/>
            <w:tcMar>
              <w:top w:w="55" w:type="dxa"/>
              <w:start w:w="55" w:type="dxa"/>
              <w:bottom w:w="55" w:type="dxa"/>
              <w:end w:w="55" w:type="dxa"/>
            </w:tcMar>
            <w:vAlign w:val="center"/>
          </w:tcPr>
          <w:p>
            <w:pPr>
              <w:spacing w:after="0"/>
            </w:pPr>
            <w:r>
              <w:rPr>
                <w:rFonts w:ascii="Cambria" w:hAnsi="Cambria"/>
                <w:b w:val="0"/>
                <w:i w:val="0"/>
                <w:color w:val="262626"/>
                <w:sz w:val="17"/>
              </w:rPr>
              <w:t>Markdown</w:t>
            </w:r>
          </w:p>
        </w:tc>
        <w:tc>
          <w:tcPr>
            <w:tcW w:type="dxa" w:w="3389"/>
            <w:tcMar>
              <w:top w:w="55" w:type="dxa"/>
              <w:start w:w="55" w:type="dxa"/>
              <w:bottom w:w="55" w:type="dxa"/>
              <w:end w:w="55" w:type="dxa"/>
            </w:tcMar>
            <w:vAlign w:val="center"/>
          </w:tcPr>
          <w:p>
            <w:pPr>
              <w:spacing w:after="0"/>
            </w:pPr>
            <w:r>
              <w:rPr>
                <w:rFonts w:ascii="Cambria" w:hAnsi="Cambria"/>
                <w:b w:val="0"/>
                <w:i w:val="0"/>
                <w:color w:val="262626"/>
                <w:sz w:val="17"/>
              </w:rPr>
              <w:t>Traceability and scope boundaries</w:t>
            </w:r>
          </w:p>
        </w:tc>
      </w:tr>
      <w:tr>
        <w:trPr>
          <w:cantSplit/>
        </w:trPr>
        <w:tc>
          <w:tcPr>
            <w:tcW w:type="dxa" w:w="3389"/>
            <w:tcMar>
              <w:top w:w="55" w:type="dxa"/>
              <w:start w:w="55" w:type="dxa"/>
              <w:bottom w:w="55" w:type="dxa"/>
              <w:end w:w="55" w:type="dxa"/>
            </w:tcMar>
            <w:vAlign w:val="center"/>
            <w:shd w:fill="F6F4F0"/>
          </w:tcPr>
          <w:p>
            <w:pPr>
              <w:spacing w:after="0"/>
            </w:pPr>
            <w:r>
              <w:rPr>
                <w:rFonts w:ascii="Cambria" w:hAnsi="Cambria"/>
                <w:b w:val="0"/>
                <w:i w:val="0"/>
                <w:color w:val="262626"/>
                <w:sz w:val="17"/>
              </w:rPr>
              <w:t>Consolidated Toolkit</w:t>
            </w:r>
          </w:p>
        </w:tc>
        <w:tc>
          <w:tcPr>
            <w:tcW w:type="dxa" w:w="3389"/>
            <w:tcMar>
              <w:top w:w="55" w:type="dxa"/>
              <w:start w:w="55" w:type="dxa"/>
              <w:bottom w:w="55" w:type="dxa"/>
              <w:end w:w="55" w:type="dxa"/>
            </w:tcMar>
            <w:vAlign w:val="center"/>
            <w:shd w:fill="F6F4F0"/>
          </w:tcPr>
          <w:p>
            <w:pPr>
              <w:spacing w:after="0"/>
            </w:pPr>
            <w:r>
              <w:rPr>
                <w:rFonts w:ascii="Cambria" w:hAnsi="Cambria"/>
                <w:b w:val="0"/>
                <w:i w:val="0"/>
                <w:color w:val="262626"/>
                <w:sz w:val="17"/>
              </w:rPr>
              <w:t>DOCX</w:t>
            </w:r>
          </w:p>
        </w:tc>
        <w:tc>
          <w:tcPr>
            <w:tcW w:type="dxa" w:w="3389"/>
            <w:tcMar>
              <w:top w:w="55" w:type="dxa"/>
              <w:start w:w="55" w:type="dxa"/>
              <w:bottom w:w="55" w:type="dxa"/>
              <w:end w:w="55" w:type="dxa"/>
            </w:tcMar>
            <w:vAlign w:val="center"/>
            <w:shd w:fill="F6F4F0"/>
          </w:tcPr>
          <w:p>
            <w:pPr>
              <w:spacing w:after="0"/>
            </w:pPr>
            <w:r>
              <w:rPr>
                <w:rFonts w:ascii="Cambria" w:hAnsi="Cambria"/>
                <w:b w:val="0"/>
                <w:i w:val="0"/>
                <w:color w:val="262626"/>
                <w:sz w:val="17"/>
              </w:rPr>
              <w:t>Human-readable publication / review edition</w:t>
            </w:r>
          </w:p>
        </w:tc>
      </w:tr>
    </w:tbl>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4896"/>
      <w:gridCol w:w="4896"/>
    </w:tblGrid>
    <w:tr>
      <w:tc>
        <w:tcPr>
          <w:tcW w:type="dxa" w:w="4896"/>
        </w:tcPr>
        <w:p>
          <w:pPr>
            <w:jc w:val="left"/>
          </w:pPr>
          <w:r>
            <w:rPr>
              <w:rFonts w:ascii="Aptos" w:hAnsi="Aptos"/>
              <w:b w:val="0"/>
              <w:i w:val="0"/>
              <w:color w:val="6B7280"/>
              <w:sz w:val="16"/>
            </w:rPr>
            <w:t>Community Review Draft • Not an official NIST/NCCoE publication</w:t>
          </w:r>
        </w:p>
      </w:tc>
      <w:tc>
        <w:tcPr>
          <w:tcW w:type="dxa" w:w="4896"/>
        </w:tcPr>
        <w:p>
          <w:pPr>
            <w:jc w:val="right"/>
          </w:pPr>
          <w:r>
            <w:rPr>
              <w:rFonts w:ascii="Aptos" w:hAnsi="Aptos"/>
              <w:b w:val="0"/>
              <w:i w:val="0"/>
              <w:color w:val="6B7280"/>
              <w:sz w:val="16"/>
            </w:rPr>
            <w:t xml:space="preserve">Page </w:t>
          </w:r>
          <w: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TRANSITION-STATE ZERO TRUST ADOPTION TOOLKIT  |  v0.1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26262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26262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26262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C4130"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5C4130"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5C4130"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5C4130" w:themeColor="accent1"/>
    </w:rPr>
  </w:style>
  <w:style w:type="paragraph" w:styleId="Title">
    <w:name w:val="Title"/>
    <w:basedOn w:val="Normal"/>
    <w:next w:val="Normal"/>
    <w:link w:val="TitleChar"/>
    <w:uiPriority w:val="10"/>
    <w:qFormat/>
    <w:rsid w:val="00FC693F"/>
    <w:pPr>
      <w:pBdr>
        <w:bottom w:val="single" w:sz="8" w:space="4" w:color="5C4130" w:themeColor="accent1"/>
      </w:pBdr>
      <w:spacing w:after="300" w:line="240" w:lineRule="auto"/>
      <w:contextualSpacing/>
    </w:pPr>
    <w:rPr>
      <w:rFonts w:asciiTheme="majorHAnsi" w:eastAsiaTheme="majorEastAsia" w:hAnsiTheme="majorHAnsi" w:cstheme="majorBidi" w:ascii="Cambria" w:hAnsi="Cambria"/>
      <w:b/>
      <w:color w:val="26262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62626"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C4130"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5C4130"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5C4130"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5C4130"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C4130"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5C4130" w:themeColor="accent1"/>
      </w:pBdr>
      <w:spacing w:before="200" w:after="280"/>
      <w:ind w:left="936" w:right="936"/>
    </w:pPr>
    <w:rPr>
      <w:b/>
      <w:bCs/>
      <w:i/>
      <w:iCs/>
      <w:color w:val="5C4130" w:themeColor="accent1"/>
    </w:rPr>
  </w:style>
  <w:style w:type="character" w:customStyle="1" w:styleId="IntenseQuoteChar">
    <w:name w:val="Intense Quote Char"/>
    <w:basedOn w:val="DefaultParagraphFont"/>
    <w:link w:val="IntenseQuote"/>
    <w:uiPriority w:val="30"/>
    <w:rsid w:val="00FC693F"/>
    <w:rPr>
      <w:b/>
      <w:bCs/>
      <w:i/>
      <w:iCs/>
      <w:color w:val="5C4130"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5C4130"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5C4130" w:themeColor="accent1"/>
        <w:bottom w:val="single" w:sz="8" w:space="0" w:color="5C4130"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C4130" w:themeColor="accent1"/>
          <w:left w:val="nil"/>
          <w:bottom w:val="single" w:sz="8" w:space="0" w:color="5C4130" w:themeColor="accent1"/>
          <w:right w:val="nil"/>
          <w:insideH w:val="nil"/>
          <w:insideV w:val="nil"/>
        </w:tcBorders>
      </w:tcPr>
    </w:tblStylePr>
    <w:tblStylePr w:type="lastRow">
      <w:pPr>
        <w:spacing w:before="0" w:after="0" w:line="240" w:lineRule="auto"/>
      </w:pPr>
      <w:rPr>
        <w:b/>
        <w:bCs/>
      </w:rPr>
      <w:tblPr/>
      <w:tcPr>
        <w:tcBorders>
          <w:top w:val="single" w:sz="8" w:space="0" w:color="5C4130" w:themeColor="accent1"/>
          <w:left w:val="nil"/>
          <w:bottom w:val="single" w:sz="8" w:space="0" w:color="5C413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5C4130" w:themeColor="accent1"/>
        <w:left w:val="single" w:sz="8" w:space="0" w:color="5C4130" w:themeColor="accent1"/>
        <w:bottom w:val="single" w:sz="8" w:space="0" w:color="5C4130" w:themeColor="accent1"/>
        <w:right w:val="single" w:sz="8" w:space="0" w:color="5C4130"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4130" w:themeFill="accent1"/>
      </w:tcPr>
    </w:tblStylePr>
    <w:tblStylePr w:type="lastRow">
      <w:pPr>
        <w:spacing w:before="0" w:after="0" w:line="240" w:lineRule="auto"/>
      </w:pPr>
      <w:rPr>
        <w:b/>
        <w:bCs/>
      </w:rPr>
      <w:tblPr/>
      <w:tcPr>
        <w:tcBorders>
          <w:top w:val="double" w:sz="6" w:space="0" w:color="5C4130" w:themeColor="accent1"/>
          <w:left w:val="single" w:sz="8" w:space="0" w:color="5C4130" w:themeColor="accent1"/>
          <w:bottom w:val="single" w:sz="8" w:space="0" w:color="5C4130" w:themeColor="accent1"/>
          <w:right w:val="single" w:sz="8" w:space="0" w:color="5C4130" w:themeColor="accent1"/>
        </w:tcBorders>
      </w:tcPr>
    </w:tblStylePr>
    <w:tblStylePr w:type="firstCol">
      <w:rPr>
        <w:b/>
        <w:bCs/>
      </w:rPr>
    </w:tblStylePr>
    <w:tblStylePr w:type="lastCol">
      <w:rPr>
        <w:b/>
        <w:bCs/>
      </w:rPr>
    </w:tblStylePr>
    <w:tblStylePr w:type="band1Vert">
      <w:tblPr/>
      <w:tcPr>
        <w:tcBorders>
          <w:top w:val="single" w:sz="8" w:space="0" w:color="5C4130" w:themeColor="accent1"/>
          <w:left w:val="single" w:sz="8" w:space="0" w:color="5C4130" w:themeColor="accent1"/>
          <w:bottom w:val="single" w:sz="8" w:space="0" w:color="5C4130" w:themeColor="accent1"/>
          <w:right w:val="single" w:sz="8" w:space="0" w:color="5C4130" w:themeColor="accent1"/>
        </w:tcBorders>
      </w:tcPr>
    </w:tblStylePr>
    <w:tblStylePr w:type="band1Horz">
      <w:tblPr/>
      <w:tcPr>
        <w:tcBorders>
          <w:top w:val="single" w:sz="8" w:space="0" w:color="5C4130" w:themeColor="accent1"/>
          <w:left w:val="single" w:sz="8" w:space="0" w:color="5C4130" w:themeColor="accent1"/>
          <w:bottom w:val="single" w:sz="8" w:space="0" w:color="5C4130" w:themeColor="accent1"/>
          <w:right w:val="single" w:sz="8" w:space="0" w:color="5C4130"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5C4130" w:themeColor="accent1"/>
        <w:left w:val="single" w:sz="8" w:space="0" w:color="5C4130" w:themeColor="accent1"/>
        <w:bottom w:val="single" w:sz="8" w:space="0" w:color="5C4130" w:themeColor="accent1"/>
        <w:right w:val="single" w:sz="8" w:space="0" w:color="5C4130" w:themeColor="accent1"/>
        <w:insideH w:val="single" w:sz="8" w:space="0" w:color="5C4130" w:themeColor="accent1"/>
        <w:insideV w:val="single" w:sz="8" w:space="0" w:color="5C4130"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C4130" w:themeColor="accent1"/>
          <w:left w:val="single" w:sz="8" w:space="0" w:color="5C4130" w:themeColor="accent1"/>
          <w:bottom w:val="single" w:sz="18" w:space="0" w:color="5C4130" w:themeColor="accent1"/>
          <w:right w:val="single" w:sz="8" w:space="0" w:color="5C4130" w:themeColor="accent1"/>
          <w:insideH w:val="nil"/>
          <w:insideV w:val="single" w:sz="8" w:space="0" w:color="5C413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C4130" w:themeColor="accent1"/>
          <w:left w:val="single" w:sz="8" w:space="0" w:color="5C4130" w:themeColor="accent1"/>
          <w:bottom w:val="single" w:sz="8" w:space="0" w:color="5C4130" w:themeColor="accent1"/>
          <w:right w:val="single" w:sz="8" w:space="0" w:color="5C4130" w:themeColor="accent1"/>
          <w:insideH w:val="nil"/>
          <w:insideV w:val="single" w:sz="8" w:space="0" w:color="5C413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C4130" w:themeColor="accent1"/>
          <w:left w:val="single" w:sz="8" w:space="0" w:color="5C4130" w:themeColor="accent1"/>
          <w:bottom w:val="single" w:sz="8" w:space="0" w:color="5C4130" w:themeColor="accent1"/>
          <w:right w:val="single" w:sz="8" w:space="0" w:color="5C4130" w:themeColor="accent1"/>
        </w:tcBorders>
      </w:tcPr>
    </w:tblStylePr>
    <w:tblStylePr w:type="band1Vert">
      <w:tblPr/>
      <w:tcPr>
        <w:tcBorders>
          <w:top w:val="single" w:sz="8" w:space="0" w:color="5C4130" w:themeColor="accent1"/>
          <w:left w:val="single" w:sz="8" w:space="0" w:color="5C4130" w:themeColor="accent1"/>
          <w:bottom w:val="single" w:sz="8" w:space="0" w:color="5C4130" w:themeColor="accent1"/>
          <w:right w:val="single" w:sz="8" w:space="0" w:color="5C4130" w:themeColor="accent1"/>
        </w:tcBorders>
        <w:shd w:val="clear" w:color="auto" w:fill="D3DFEE" w:themeFill="accent1" w:themeFillTint="3F"/>
      </w:tcPr>
    </w:tblStylePr>
    <w:tblStylePr w:type="band1Horz">
      <w:tblPr/>
      <w:tcPr>
        <w:tcBorders>
          <w:top w:val="single" w:sz="8" w:space="0" w:color="5C4130" w:themeColor="accent1"/>
          <w:left w:val="single" w:sz="8" w:space="0" w:color="5C4130" w:themeColor="accent1"/>
          <w:bottom w:val="single" w:sz="8" w:space="0" w:color="5C4130" w:themeColor="accent1"/>
          <w:right w:val="single" w:sz="8" w:space="0" w:color="5C4130" w:themeColor="accent1"/>
          <w:insideV w:val="single" w:sz="8" w:space="0" w:color="5C4130" w:themeColor="accent1"/>
        </w:tcBorders>
        <w:shd w:val="clear" w:color="auto" w:fill="D3DFEE" w:themeFill="accent1" w:themeFillTint="3F"/>
      </w:tcPr>
    </w:tblStylePr>
    <w:tblStylePr w:type="band2Horz">
      <w:tblPr/>
      <w:tcPr>
        <w:tcBorders>
          <w:top w:val="single" w:sz="8" w:space="0" w:color="5C4130" w:themeColor="accent1"/>
          <w:left w:val="single" w:sz="8" w:space="0" w:color="5C4130" w:themeColor="accent1"/>
          <w:bottom w:val="single" w:sz="8" w:space="0" w:color="5C4130" w:themeColor="accent1"/>
          <w:right w:val="single" w:sz="8" w:space="0" w:color="5C4130" w:themeColor="accent1"/>
          <w:insideV w:val="single" w:sz="8" w:space="0" w:color="5C4130"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5C4130"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413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4130" w:themeFill="accent1"/>
      </w:tcPr>
    </w:tblStylePr>
    <w:tblStylePr w:type="lastCol">
      <w:rPr>
        <w:b/>
        <w:bCs/>
        <w:color w:val="FFFFFF" w:themeColor="background1"/>
      </w:rPr>
      <w:tblPr/>
      <w:tcPr>
        <w:tcBorders>
          <w:left w:val="nil"/>
          <w:right w:val="nil"/>
          <w:insideH w:val="nil"/>
          <w:insideV w:val="nil"/>
        </w:tcBorders>
        <w:shd w:val="clear" w:color="auto" w:fill="5C413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5C4130" w:themeColor="accent1"/>
        <w:bottom w:val="single" w:sz="8" w:space="0" w:color="5C4130"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C4130" w:themeColor="accent1"/>
        </w:tcBorders>
      </w:tcPr>
    </w:tblStylePr>
    <w:tblStylePr w:type="lastRow">
      <w:rPr>
        <w:b/>
        <w:bCs/>
        <w:color w:val="1F497D" w:themeColor="text2"/>
      </w:rPr>
      <w:tblPr/>
      <w:tcPr>
        <w:tcBorders>
          <w:top w:val="single" w:sz="8" w:space="0" w:color="5C4130" w:themeColor="accent1"/>
          <w:bottom w:val="single" w:sz="8" w:space="0" w:color="5C4130" w:themeColor="accent1"/>
        </w:tcBorders>
      </w:tcPr>
    </w:tblStylePr>
    <w:tblStylePr w:type="firstCol">
      <w:rPr>
        <w:b/>
        <w:bCs/>
      </w:rPr>
    </w:tblStylePr>
    <w:tblStylePr w:type="lastCol">
      <w:rPr>
        <w:b/>
        <w:bCs/>
      </w:rPr>
      <w:tblPr/>
      <w:tcPr>
        <w:tcBorders>
          <w:top w:val="single" w:sz="8" w:space="0" w:color="5C4130" w:themeColor="accent1"/>
          <w:bottom w:val="single" w:sz="8" w:space="0" w:color="5C4130"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C4130" w:themeColor="accent1"/>
        <w:left w:val="single" w:sz="8" w:space="0" w:color="5C4130" w:themeColor="accent1"/>
        <w:bottom w:val="single" w:sz="8" w:space="0" w:color="5C4130" w:themeColor="accent1"/>
        <w:right w:val="single" w:sz="8" w:space="0" w:color="5C4130"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C4130" w:themeColor="accent1"/>
          <w:right w:val="nil"/>
          <w:insideH w:val="nil"/>
          <w:insideV w:val="nil"/>
        </w:tcBorders>
        <w:shd w:val="clear" w:color="auto" w:fill="FFFFFF" w:themeFill="background1"/>
      </w:tcPr>
    </w:tblStylePr>
    <w:tblStylePr w:type="lastRow">
      <w:tblPr/>
      <w:tcPr>
        <w:tcBorders>
          <w:top w:val="single" w:sz="8" w:space="0" w:color="5C413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C4130" w:themeColor="accent1"/>
          <w:insideH w:val="nil"/>
          <w:insideV w:val="nil"/>
        </w:tcBorders>
        <w:shd w:val="clear" w:color="auto" w:fill="FFFFFF" w:themeFill="background1"/>
      </w:tcPr>
    </w:tblStylePr>
    <w:tblStylePr w:type="lastCol">
      <w:tblPr/>
      <w:tcPr>
        <w:tcBorders>
          <w:top w:val="nil"/>
          <w:left w:val="single" w:sz="8" w:space="0" w:color="5C413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C4130" w:themeColor="accent1"/>
        <w:left w:val="single" w:sz="8" w:space="0" w:color="5C4130" w:themeColor="accent1"/>
        <w:bottom w:val="single" w:sz="8" w:space="0" w:color="5C4130" w:themeColor="accent1"/>
        <w:right w:val="single" w:sz="8" w:space="0" w:color="5C4130" w:themeColor="accent1"/>
        <w:insideH w:val="single" w:sz="8" w:space="0" w:color="5C4130" w:themeColor="accent1"/>
        <w:insideV w:val="single" w:sz="8" w:space="0" w:color="5C4130"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5C4130" w:themeColor="accent1"/>
          <w:insideV w:val="single" w:sz="6" w:space="0" w:color="5C4130"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413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413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413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413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413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5C4130" w:themeColor="accent1"/>
        <w:bottom w:val="single" w:sz="4" w:space="0" w:color="5C4130" w:themeColor="accent1"/>
        <w:right w:val="single" w:sz="4" w:space="0" w:color="5C4130"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C4130"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C4130"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C4130"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5C4130"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5C4130"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5C4130" w:themeColor="accent1"/>
    </w:rPr>
  </w:style>
  <w:style w:type="paragraph" w:styleId="Title">
    <w:name w:val="Title"/>
    <w:basedOn w:val="Normal"/>
    <w:next w:val="Normal"/>
    <w:link w:val="TitleChar"/>
    <w:uiPriority w:val="10"/>
    <w:qFormat/>
    <w:rsid w:val="00FC693F"/>
    <w:pPr>
      <w:pBdr>
        <w:bottom w:val="single" w:sz="8" w:space="4" w:color="5C4130" w:themeColor="accent1"/>
      </w:pBdr>
      <w:spacing w:after="300" w:line="240" w:lineRule="auto"/>
      <w:contextualSpacing/>
    </w:pPr>
    <w:rPr>
      <w:rFonts w:asciiTheme="majorHAnsi" w:eastAsiaTheme="majorEastAsia" w:hAnsiTheme="majorHAnsi" w:cstheme="majorBidi"/>
      <w:color w:val="262626"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62626"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C4130"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5C4130"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5C4130"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5C4130"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C4130"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5C4130" w:themeColor="accent1"/>
      </w:pBdr>
      <w:spacing w:before="200" w:after="280"/>
      <w:ind w:left="936" w:right="936"/>
    </w:pPr>
    <w:rPr>
      <w:b/>
      <w:bCs/>
      <w:i/>
      <w:iCs/>
      <w:color w:val="5C4130" w:themeColor="accent1"/>
    </w:rPr>
  </w:style>
  <w:style w:type="character" w:customStyle="1" w:styleId="IntenseQuoteChar">
    <w:name w:val="Intense Quote Char"/>
    <w:basedOn w:val="DefaultParagraphFont"/>
    <w:link w:val="IntenseQuote"/>
    <w:uiPriority w:val="30"/>
    <w:rsid w:val="00FC693F"/>
    <w:rPr>
      <w:b/>
      <w:bCs/>
      <w:i/>
      <w:iCs/>
      <w:color w:val="5C4130"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5C4130"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5C4130" w:themeColor="accent1"/>
        <w:bottom w:val="single" w:sz="8" w:space="0" w:color="5C4130"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C4130" w:themeColor="accent1"/>
          <w:left w:val="nil"/>
          <w:bottom w:val="single" w:sz="8" w:space="0" w:color="5C4130" w:themeColor="accent1"/>
          <w:right w:val="nil"/>
          <w:insideH w:val="nil"/>
          <w:insideV w:val="nil"/>
        </w:tcBorders>
      </w:tcPr>
    </w:tblStylePr>
    <w:tblStylePr w:type="lastRow">
      <w:pPr>
        <w:spacing w:before="0" w:after="0" w:line="240" w:lineRule="auto"/>
      </w:pPr>
      <w:rPr>
        <w:b/>
        <w:bCs/>
      </w:rPr>
      <w:tblPr/>
      <w:tcPr>
        <w:tcBorders>
          <w:top w:val="single" w:sz="8" w:space="0" w:color="5C4130" w:themeColor="accent1"/>
          <w:left w:val="nil"/>
          <w:bottom w:val="single" w:sz="8" w:space="0" w:color="5C413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5C4130" w:themeColor="accent1"/>
        <w:left w:val="single" w:sz="8" w:space="0" w:color="5C4130" w:themeColor="accent1"/>
        <w:bottom w:val="single" w:sz="8" w:space="0" w:color="5C4130" w:themeColor="accent1"/>
        <w:right w:val="single" w:sz="8" w:space="0" w:color="5C4130"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4130" w:themeFill="accent1"/>
      </w:tcPr>
    </w:tblStylePr>
    <w:tblStylePr w:type="lastRow">
      <w:pPr>
        <w:spacing w:before="0" w:after="0" w:line="240" w:lineRule="auto"/>
      </w:pPr>
      <w:rPr>
        <w:b/>
        <w:bCs/>
      </w:rPr>
      <w:tblPr/>
      <w:tcPr>
        <w:tcBorders>
          <w:top w:val="double" w:sz="6" w:space="0" w:color="5C4130" w:themeColor="accent1"/>
          <w:left w:val="single" w:sz="8" w:space="0" w:color="5C4130" w:themeColor="accent1"/>
          <w:bottom w:val="single" w:sz="8" w:space="0" w:color="5C4130" w:themeColor="accent1"/>
          <w:right w:val="single" w:sz="8" w:space="0" w:color="5C4130" w:themeColor="accent1"/>
        </w:tcBorders>
      </w:tcPr>
    </w:tblStylePr>
    <w:tblStylePr w:type="firstCol">
      <w:rPr>
        <w:b/>
        <w:bCs/>
      </w:rPr>
    </w:tblStylePr>
    <w:tblStylePr w:type="lastCol">
      <w:rPr>
        <w:b/>
        <w:bCs/>
      </w:rPr>
    </w:tblStylePr>
    <w:tblStylePr w:type="band1Vert">
      <w:tblPr/>
      <w:tcPr>
        <w:tcBorders>
          <w:top w:val="single" w:sz="8" w:space="0" w:color="5C4130" w:themeColor="accent1"/>
          <w:left w:val="single" w:sz="8" w:space="0" w:color="5C4130" w:themeColor="accent1"/>
          <w:bottom w:val="single" w:sz="8" w:space="0" w:color="5C4130" w:themeColor="accent1"/>
          <w:right w:val="single" w:sz="8" w:space="0" w:color="5C4130" w:themeColor="accent1"/>
        </w:tcBorders>
      </w:tcPr>
    </w:tblStylePr>
    <w:tblStylePr w:type="band1Horz">
      <w:tblPr/>
      <w:tcPr>
        <w:tcBorders>
          <w:top w:val="single" w:sz="8" w:space="0" w:color="5C4130" w:themeColor="accent1"/>
          <w:left w:val="single" w:sz="8" w:space="0" w:color="5C4130" w:themeColor="accent1"/>
          <w:bottom w:val="single" w:sz="8" w:space="0" w:color="5C4130" w:themeColor="accent1"/>
          <w:right w:val="single" w:sz="8" w:space="0" w:color="5C4130"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5C4130" w:themeColor="accent1"/>
        <w:left w:val="single" w:sz="8" w:space="0" w:color="5C4130" w:themeColor="accent1"/>
        <w:bottom w:val="single" w:sz="8" w:space="0" w:color="5C4130" w:themeColor="accent1"/>
        <w:right w:val="single" w:sz="8" w:space="0" w:color="5C4130" w:themeColor="accent1"/>
        <w:insideH w:val="single" w:sz="8" w:space="0" w:color="5C4130" w:themeColor="accent1"/>
        <w:insideV w:val="single" w:sz="8" w:space="0" w:color="5C4130"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C4130" w:themeColor="accent1"/>
          <w:left w:val="single" w:sz="8" w:space="0" w:color="5C4130" w:themeColor="accent1"/>
          <w:bottom w:val="single" w:sz="18" w:space="0" w:color="5C4130" w:themeColor="accent1"/>
          <w:right w:val="single" w:sz="8" w:space="0" w:color="5C4130" w:themeColor="accent1"/>
          <w:insideH w:val="nil"/>
          <w:insideV w:val="single" w:sz="8" w:space="0" w:color="5C413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C4130" w:themeColor="accent1"/>
          <w:left w:val="single" w:sz="8" w:space="0" w:color="5C4130" w:themeColor="accent1"/>
          <w:bottom w:val="single" w:sz="8" w:space="0" w:color="5C4130" w:themeColor="accent1"/>
          <w:right w:val="single" w:sz="8" w:space="0" w:color="5C4130" w:themeColor="accent1"/>
          <w:insideH w:val="nil"/>
          <w:insideV w:val="single" w:sz="8" w:space="0" w:color="5C413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C4130" w:themeColor="accent1"/>
          <w:left w:val="single" w:sz="8" w:space="0" w:color="5C4130" w:themeColor="accent1"/>
          <w:bottom w:val="single" w:sz="8" w:space="0" w:color="5C4130" w:themeColor="accent1"/>
          <w:right w:val="single" w:sz="8" w:space="0" w:color="5C4130" w:themeColor="accent1"/>
        </w:tcBorders>
      </w:tcPr>
    </w:tblStylePr>
    <w:tblStylePr w:type="band1Vert">
      <w:tblPr/>
      <w:tcPr>
        <w:tcBorders>
          <w:top w:val="single" w:sz="8" w:space="0" w:color="5C4130" w:themeColor="accent1"/>
          <w:left w:val="single" w:sz="8" w:space="0" w:color="5C4130" w:themeColor="accent1"/>
          <w:bottom w:val="single" w:sz="8" w:space="0" w:color="5C4130" w:themeColor="accent1"/>
          <w:right w:val="single" w:sz="8" w:space="0" w:color="5C4130" w:themeColor="accent1"/>
        </w:tcBorders>
        <w:shd w:val="clear" w:color="auto" w:fill="D3DFEE" w:themeFill="accent1" w:themeFillTint="3F"/>
      </w:tcPr>
    </w:tblStylePr>
    <w:tblStylePr w:type="band1Horz">
      <w:tblPr/>
      <w:tcPr>
        <w:tcBorders>
          <w:top w:val="single" w:sz="8" w:space="0" w:color="5C4130" w:themeColor="accent1"/>
          <w:left w:val="single" w:sz="8" w:space="0" w:color="5C4130" w:themeColor="accent1"/>
          <w:bottom w:val="single" w:sz="8" w:space="0" w:color="5C4130" w:themeColor="accent1"/>
          <w:right w:val="single" w:sz="8" w:space="0" w:color="5C4130" w:themeColor="accent1"/>
          <w:insideV w:val="single" w:sz="8" w:space="0" w:color="5C4130" w:themeColor="accent1"/>
        </w:tcBorders>
        <w:shd w:val="clear" w:color="auto" w:fill="D3DFEE" w:themeFill="accent1" w:themeFillTint="3F"/>
      </w:tcPr>
    </w:tblStylePr>
    <w:tblStylePr w:type="band2Horz">
      <w:tblPr/>
      <w:tcPr>
        <w:tcBorders>
          <w:top w:val="single" w:sz="8" w:space="0" w:color="5C4130" w:themeColor="accent1"/>
          <w:left w:val="single" w:sz="8" w:space="0" w:color="5C4130" w:themeColor="accent1"/>
          <w:bottom w:val="single" w:sz="8" w:space="0" w:color="5C4130" w:themeColor="accent1"/>
          <w:right w:val="single" w:sz="8" w:space="0" w:color="5C4130" w:themeColor="accent1"/>
          <w:insideV w:val="single" w:sz="8" w:space="0" w:color="5C4130"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5C4130"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413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4130" w:themeFill="accent1"/>
      </w:tcPr>
    </w:tblStylePr>
    <w:tblStylePr w:type="lastCol">
      <w:rPr>
        <w:b/>
        <w:bCs/>
        <w:color w:val="FFFFFF" w:themeColor="background1"/>
      </w:rPr>
      <w:tblPr/>
      <w:tcPr>
        <w:tcBorders>
          <w:left w:val="nil"/>
          <w:right w:val="nil"/>
          <w:insideH w:val="nil"/>
          <w:insideV w:val="nil"/>
        </w:tcBorders>
        <w:shd w:val="clear" w:color="auto" w:fill="5C413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5C4130" w:themeColor="accent1"/>
        <w:bottom w:val="single" w:sz="8" w:space="0" w:color="5C4130"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C4130" w:themeColor="accent1"/>
        </w:tcBorders>
      </w:tcPr>
    </w:tblStylePr>
    <w:tblStylePr w:type="lastRow">
      <w:rPr>
        <w:b/>
        <w:bCs/>
        <w:color w:val="1F497D" w:themeColor="text2"/>
      </w:rPr>
      <w:tblPr/>
      <w:tcPr>
        <w:tcBorders>
          <w:top w:val="single" w:sz="8" w:space="0" w:color="5C4130" w:themeColor="accent1"/>
          <w:bottom w:val="single" w:sz="8" w:space="0" w:color="5C4130" w:themeColor="accent1"/>
        </w:tcBorders>
      </w:tcPr>
    </w:tblStylePr>
    <w:tblStylePr w:type="firstCol">
      <w:rPr>
        <w:b/>
        <w:bCs/>
      </w:rPr>
    </w:tblStylePr>
    <w:tblStylePr w:type="lastCol">
      <w:rPr>
        <w:b/>
        <w:bCs/>
      </w:rPr>
      <w:tblPr/>
      <w:tcPr>
        <w:tcBorders>
          <w:top w:val="single" w:sz="8" w:space="0" w:color="5C4130" w:themeColor="accent1"/>
          <w:bottom w:val="single" w:sz="8" w:space="0" w:color="5C4130"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C4130" w:themeColor="accent1"/>
        <w:left w:val="single" w:sz="8" w:space="0" w:color="5C4130" w:themeColor="accent1"/>
        <w:bottom w:val="single" w:sz="8" w:space="0" w:color="5C4130" w:themeColor="accent1"/>
        <w:right w:val="single" w:sz="8" w:space="0" w:color="5C4130"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C4130" w:themeColor="accent1"/>
          <w:right w:val="nil"/>
          <w:insideH w:val="nil"/>
          <w:insideV w:val="nil"/>
        </w:tcBorders>
        <w:shd w:val="clear" w:color="auto" w:fill="FFFFFF" w:themeFill="background1"/>
      </w:tcPr>
    </w:tblStylePr>
    <w:tblStylePr w:type="lastRow">
      <w:tblPr/>
      <w:tcPr>
        <w:tcBorders>
          <w:top w:val="single" w:sz="8" w:space="0" w:color="5C413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C4130" w:themeColor="accent1"/>
          <w:insideH w:val="nil"/>
          <w:insideV w:val="nil"/>
        </w:tcBorders>
        <w:shd w:val="clear" w:color="auto" w:fill="FFFFFF" w:themeFill="background1"/>
      </w:tcPr>
    </w:tblStylePr>
    <w:tblStylePr w:type="lastCol">
      <w:tblPr/>
      <w:tcPr>
        <w:tcBorders>
          <w:top w:val="nil"/>
          <w:left w:val="single" w:sz="8" w:space="0" w:color="5C413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C4130" w:themeColor="accent1"/>
        <w:left w:val="single" w:sz="8" w:space="0" w:color="5C4130" w:themeColor="accent1"/>
        <w:bottom w:val="single" w:sz="8" w:space="0" w:color="5C4130" w:themeColor="accent1"/>
        <w:right w:val="single" w:sz="8" w:space="0" w:color="5C4130" w:themeColor="accent1"/>
        <w:insideH w:val="single" w:sz="8" w:space="0" w:color="5C4130" w:themeColor="accent1"/>
        <w:insideV w:val="single" w:sz="8" w:space="0" w:color="5C4130"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5C4130" w:themeColor="accent1"/>
          <w:insideV w:val="single" w:sz="6" w:space="0" w:color="5C4130"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413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413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413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413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413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5C4130" w:themeColor="accent1"/>
        <w:bottom w:val="single" w:sz="4" w:space="0" w:color="5C4130" w:themeColor="accent1"/>
        <w:right w:val="single" w:sz="4" w:space="0" w:color="5C4130"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262626"/>
      </a:dk2>
      <a:lt2>
        <a:srgbClr val="EEECE1"/>
      </a:lt2>
      <a:accent1>
        <a:srgbClr val="5C413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