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F497D"/>
          <w:sz w:val="44"/>
        </w:rPr>
        <w:t>PAIR Platform</w:t>
      </w:r>
    </w:p>
    <w:p>
      <w:pPr>
        <w:jc w:val="center"/>
      </w:pPr>
      <w:r>
        <w:rPr>
          <w:color w:val="2E74B5"/>
          <w:sz w:val="26"/>
        </w:rPr>
        <w:t>Project Estimation Document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392"/>
        <w:gridCol w:w="4392"/>
      </w:tblGrid>
      <w:tr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DEEAF1"/>
          </w:tcPr>
          <w:p>
            <w:r>
              <w:rPr>
                <w:b/>
                <w:color w:val="1F497D"/>
                <w:sz w:val="22"/>
              </w:rPr>
              <w:t>Project Name</w:t>
            </w:r>
          </w:p>
        </w:tc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2"/>
              </w:rPr>
              <w:t>PAIR – TalentBridge Platform</w:t>
            </w:r>
          </w:p>
        </w:tc>
      </w:tr>
      <w:tr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DEEAF1"/>
          </w:tcPr>
          <w:p>
            <w:r>
              <w:rPr>
                <w:b/>
                <w:color w:val="1F497D"/>
                <w:sz w:val="22"/>
              </w:rPr>
              <w:t>Document Type</w:t>
            </w:r>
          </w:p>
        </w:tc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2"/>
              </w:rPr>
              <w:t>Project Estimation</w:t>
            </w:r>
          </w:p>
        </w:tc>
      </w:tr>
      <w:tr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DEEAF1"/>
          </w:tcPr>
          <w:p>
            <w:r>
              <w:rPr>
                <w:b/>
                <w:color w:val="1F497D"/>
                <w:sz w:val="22"/>
              </w:rPr>
              <w:t>Version</w:t>
            </w:r>
          </w:p>
        </w:tc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2"/>
              </w:rPr>
              <w:t>v1.0</w:t>
            </w:r>
          </w:p>
        </w:tc>
      </w:tr>
      <w:tr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DEEAF1"/>
          </w:tcPr>
          <w:p>
            <w:r>
              <w:rPr>
                <w:b/>
                <w:color w:val="1F497D"/>
                <w:sz w:val="22"/>
              </w:rPr>
              <w:t>Status</w:t>
            </w:r>
          </w:p>
        </w:tc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2"/>
              </w:rPr>
              <w:t>Draft – To be reviewed and validated with client/stakeholders</w:t>
            </w:r>
          </w:p>
        </w:tc>
      </w:tr>
      <w:tr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DEEAF1"/>
          </w:tcPr>
          <w:p>
            <w:r>
              <w:rPr>
                <w:b/>
                <w:color w:val="1F497D"/>
                <w:sz w:val="22"/>
              </w:rPr>
              <w:t>Date</w:t>
            </w:r>
          </w:p>
        </w:tc>
        <w:tc>
          <w:tcPr>
            <w:tcW w:type="dxa" w:w="43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2"/>
              </w:rPr>
              <w:t>April 2026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F497D"/>
        </w:pBdr>
      </w:pPr>
      <w:r>
        <w:rPr>
          <w:b/>
          <w:color w:val="1F497D"/>
          <w:sz w:val="28"/>
        </w:rPr>
        <w:t>1. Introduction</w:t>
      </w:r>
    </w:p>
    <w:p>
      <w:pPr>
        <w:spacing w:after="120"/>
      </w:pPr>
      <w:r>
        <w:rPr>
          <w:sz w:val="22"/>
        </w:rPr>
        <w:t>This document presents the development effort estimates for the PAIR platform. Estimates are derived using expert judgement and analogy-based estimation, which involves comparing features to similar past work and adjusting for complexity (PMBOK, 2021). All estimates are expressed as development day ranges to account for uncertainty in a capstone project context.</w:t>
      </w:r>
    </w:p>
    <w:p>
      <w:pPr>
        <w:spacing w:after="120"/>
      </w:pPr>
      <w:r>
        <w:rPr>
          <w:sz w:val="22"/>
        </w:rPr>
        <w:t>The overall development effort is estimated based on the complexity of core features and the 2-month capstone timeframe. Estimates assume a small development team using an iterative development approach.</w:t>
      </w:r>
    </w:p>
    <w:p>
      <w:pPr>
        <w:spacing w:before="320" w:after="120"/>
        <w:pBdr>
          <w:bottom w:val="single" w:sz="6" w:space="1" w:color="1F497D"/>
        </w:pBdr>
      </w:pPr>
      <w:r>
        <w:rPr>
          <w:b/>
          <w:color w:val="1F497D"/>
          <w:sz w:val="28"/>
        </w:rPr>
        <w:t>2. Estimated Effort by Feature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Estimated Effort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User Registration &amp; Authentication</w:t>
              <w:br/>
              <w:t>(incl. Google OAuth 2.0)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Account creation, login/logout, password reset, Google OAuth integration, role differentiation, consent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3–4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Profile Management</w:t>
              <w:br/>
              <w:t>(Talent &amp; Recruiter)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Profile creation, editing, visibility controls, skills and certification management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3–4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Artifact Upload &amp; Management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PDF upload, validation, storage reference, edit/delete, classification categories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3–4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Admin Verification Workflow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Pending/Approved/Rejected status management, email notifications to talents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2–3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Search &amp; Filtering Functionality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Keyword search, classification filter, name filter, favorites filter, results display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3–5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Role-Based Access Control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Talent, Recruiter, and Admin role enforcement across all platform functions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2–3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Notification System</w:t>
              <w:br/>
              <w:t>(incl. individual and delete all)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Interest notifications, storage, duplicate prevention, individual delete, delete all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3–4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Project Participants Management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Add by email, registration validation, 7-participant limit, display, profile navigation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2–3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AI-Powered Quick Summary Feature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AI button integration, side panel display, structured summary generation from PDF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2–3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Azure Infrastructure Setup</w:t>
              <w:br/>
              <w:t>(Dev/Test and Live environments)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Azure hosting, PostgreSQL setup, Blob Storage, OAuth whitelist, environment separation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2–3 days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Total Estimated Development Effort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 w:val="0"/>
                <w:color w:val="FFFFFF"/>
                <w:sz w:val="20"/>
              </w:rPr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Approximately 75–80 days</w:t>
            </w:r>
          </w:p>
        </w:tc>
      </w:tr>
    </w:tbl>
    <w:p/>
    <w:p>
      <w:pPr>
        <w:spacing w:before="320" w:after="120"/>
        <w:pBdr>
          <w:bottom w:val="single" w:sz="6" w:space="1" w:color="1F497D"/>
        </w:pBdr>
      </w:pPr>
      <w:r>
        <w:rPr>
          <w:b/>
          <w:color w:val="1F497D"/>
          <w:sz w:val="28"/>
        </w:rPr>
        <w:t>3. Estimation Notes</w:t>
      </w:r>
    </w:p>
    <w:p>
      <w:pPr>
        <w:pStyle w:val="ListBullet"/>
        <w:spacing w:after="60"/>
      </w:pPr>
      <w:r>
        <w:rPr>
          <w:sz w:val="22"/>
        </w:rPr>
        <w:t>Estimates assume a small development team and iterative development approach.</w:t>
      </w:r>
    </w:p>
    <w:p>
      <w:pPr>
        <w:pStyle w:val="ListBullet"/>
        <w:spacing w:after="60"/>
      </w:pPr>
      <w:r>
        <w:rPr>
          <w:sz w:val="22"/>
        </w:rPr>
        <w:t>Search, verification, and notification features may require additional testing time.</w:t>
      </w:r>
    </w:p>
    <w:p>
      <w:pPr>
        <w:pStyle w:val="ListBullet"/>
        <w:spacing w:after="60"/>
      </w:pPr>
      <w:r>
        <w:rPr>
          <w:sz w:val="22"/>
        </w:rPr>
        <w:t>External integrations and AI-based features beyond Quick Summary are excluded from scope and estimation.</w:t>
      </w:r>
    </w:p>
    <w:p>
      <w:pPr>
        <w:pStyle w:val="ListBullet"/>
        <w:spacing w:after="60"/>
      </w:pPr>
      <w:r>
        <w:rPr>
          <w:sz w:val="22"/>
        </w:rPr>
        <w:t>UI refinement and usability testing are included within feature development time.</w:t>
      </w:r>
    </w:p>
    <w:p>
      <w:pPr>
        <w:pStyle w:val="ListBullet"/>
        <w:spacing w:after="60"/>
      </w:pPr>
      <w:r>
        <w:rPr>
          <w:sz w:val="22"/>
        </w:rPr>
        <w:t>All estimates are expressed as ranges to reflect inherent uncertainty in early-stage project planning.</w:t>
      </w:r>
    </w:p>
    <w:p>
      <w:pPr>
        <w:spacing w:before="320" w:after="120"/>
        <w:pBdr>
          <w:bottom w:val="single" w:sz="6" w:space="1" w:color="1F497D"/>
        </w:pBdr>
      </w:pPr>
      <w:r>
        <w:rPr>
          <w:b/>
          <w:color w:val="1F497D"/>
          <w:sz w:val="28"/>
        </w:rPr>
        <w:t>4. Project Timeline Overview</w:t>
      </w:r>
    </w:p>
    <w:p>
      <w:pPr>
        <w:spacing w:after="120"/>
      </w:pPr>
      <w:r>
        <w:rPr>
          <w:sz w:val="22"/>
        </w:rPr>
        <w:t>The following table provides a high-level timeline overview for the 2-month capstone delivery period.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928"/>
        <w:gridCol w:w="2928"/>
        <w:gridCol w:w="2928"/>
      </w:tblGrid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Activities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97D"/>
          </w:tcPr>
          <w:p>
            <w:r>
              <w:rPr>
                <w:b/>
                <w:color w:val="FFFFFF"/>
                <w:sz w:val="22"/>
              </w:rPr>
              <w:t>Duration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Phase 1 – Requirements &amp; Planning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BRD, stakeholder analysis, user stories, use cases, solution architecture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Week 1–2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Phase 2 – Core Development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Authentication, profile management, artifact upload, admin verification, RBAC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Week 2–4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Phase 3 – Feature Development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Search &amp; filtering, notifications, participants, Quick Summary, Azure setup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Week 4–6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sz w:val="20"/>
              </w:rPr>
              <w:t>Phase 4 – Testing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 w:val="0"/>
                <w:sz w:val="20"/>
              </w:rPr>
              <w:t>Functional testing, defect resolution, UAT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 w:val="0"/>
                <w:sz w:val="20"/>
              </w:rPr>
              <w:t>Week 6–7</w:t>
            </w:r>
          </w:p>
        </w:tc>
      </w:tr>
      <w:tr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/>
                <w:sz w:val="20"/>
              </w:rPr>
              <w:t>Phase 5 – Review &amp; Handover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r>
              <w:rPr>
                <w:b w:val="0"/>
                <w:sz w:val="20"/>
              </w:rPr>
              <w:t>Final documentation, client review, project delivery</w:t>
            </w:r>
          </w:p>
        </w:tc>
        <w:tc>
          <w:tcPr>
            <w:tcW w:type="dxa" w:w="292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2F7FB"/>
          </w:tcPr>
          <w:p>
            <w:pPr>
              <w:jc w:val="center"/>
            </w:pPr>
            <w:r>
              <w:rPr>
                <w:b w:val="0"/>
                <w:sz w:val="20"/>
              </w:rPr>
              <w:t>Week 7–8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F497D"/>
        </w:pBdr>
      </w:pPr>
      <w:r>
        <w:rPr>
          <w:b/>
          <w:color w:val="1F497D"/>
          <w:sz w:val="28"/>
        </w:rPr>
        <w:t>References</w:t>
      </w:r>
    </w:p>
    <w:p>
      <w:pPr>
        <w:spacing w:after="80"/>
        <w:ind w:left="720" w:hanging="720"/>
      </w:pPr>
      <w:r>
        <w:rPr>
          <w:i w:val="0"/>
          <w:sz w:val="20"/>
        </w:rPr>
        <w:t xml:space="preserve">Project Management Institute. (2021). </w:t>
      </w:r>
      <w:r>
        <w:rPr>
          <w:i/>
          <w:sz w:val="20"/>
        </w:rPr>
        <w:t>A guide to the project management body of knowledge (PMBOK Guide)</w:t>
      </w:r>
      <w:r>
        <w:rPr>
          <w:i w:val="0"/>
          <w:sz w:val="20"/>
        </w:rPr>
        <w:t xml:space="preserve"> (7th ed.). Project Management Institute.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