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pessoa natural, brasileira, portadora da Cédula de Identidade RG nº {{rg}}, inscrito no CPF/MF sob o nº {{cpf}}, residente e domiciliado à {{logradouro}}, nº{{numero}}, {{complemento}}, {{bairro}}, cidade de {{cidade}}, estado de {{estado}}, CEP {{cep}}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solteira, advogada, inscrita na OAB/SP sob o nº 393.350, com endereço comercial na Av. Eng. Fábio Roberto Barnabé, 1968 - Jardim Esplanada, Indaiatuba – SP, CEP 13331-520,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a prestação de serviços advocatícios a serem realizados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propor {{tipo_contrato}}.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</w:p>
    <w:p w:rsidR="00000000" w:rsidDel="00000000" w:rsidP="00000000" w:rsidRDefault="00000000" w:rsidRPr="00000000" w14:paraId="00000011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3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podendo atuação do processo se dar por quaisquer profissionais dele pertencentes, assim a Dra. Letícia não acompanhará obrigatoriamente as audiências. Caso haja interesse da exclusividade da atuação no momento da audiência o valor praticado sofrerá taxa adicional de 50% do valor contratado e será realizado mediante a disponibilidade de agenda.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Poderá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agir isoladamente ou em conjunto, caso assim permita o instrumento de mandato, substabelecimento com reserva de poderes outorgados.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D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Pela fiel execução dos serviços contratados, a Contratante pagará à Contratada da seguinte forma: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287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Contratante pagará à Contratada o percentual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{{percentual_ganho}}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valores em aberto, acrescidos da multa no importe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{{currency}}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B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objeto deste instrumento, incluindo-se fotocópias, emolumentos, viagens, custas, custas processuais judiciais, periciais e honorários advocatícios da parte contrária,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Quinta - Da Cobrança</w:t>
      </w:r>
    </w:p>
    <w:p w:rsidR="00000000" w:rsidDel="00000000" w:rsidP="00000000" w:rsidRDefault="00000000" w:rsidRPr="00000000" w14:paraId="00000035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2dbdb" w:val="clear"/>
        <w:spacing w:after="240" w:lineRule="auto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Contrato, as partes elegem o foro da comarca de Indaiatuba, Estado de São Paulo, com expressa renúncia a eventual outro, por mais privilegiado que seja.</w:t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2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7"/>
        </w:tabs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25 de outubro de 2024.</w:t>
      </w:r>
    </w:p>
    <w:p w:rsidR="00000000" w:rsidDel="00000000" w:rsidP="00000000" w:rsidRDefault="00000000" w:rsidRPr="00000000" w14:paraId="00000045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ab/>
        <w:tab/>
        <w:t xml:space="preserve">Contratada: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4A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 sob o nº {{cpf}}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OAB/SP sob o nº 393.350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4E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09"/>
          <w:tab w:val="left" w:leader="none" w:pos="4820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50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1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2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sectPr>
      <w:headerReference r:id="rId7" w:type="default"/>
      <w:footerReference r:id="rId8" w:type="default"/>
      <w:pgSz w:h="16838" w:w="11906" w:orient="portrait"/>
      <w:pgMar w:bottom="851" w:top="1560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89875"/>
                        <a:ext cx="418465" cy="438150"/>
                        <a:chOff x="5136750" y="2089875"/>
                        <a:chExt cx="418500" cy="190920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-746597</wp:posOffset>
          </wp:positionH>
          <wp:positionV relativeFrom="paragraph">
            <wp:posOffset>-435608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8" name="image1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abstractNum w:abstractNumId="3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1287" w:hanging="360.0000000000001"/>
      </w:pPr>
      <w:rPr/>
    </w:lvl>
    <w:lvl w:ilvl="2">
      <w:start w:val="1"/>
      <w:numFmt w:val="decimal"/>
      <w:lvlText w:val="%1.%2.%3"/>
      <w:lvlJc w:val="left"/>
      <w:pPr>
        <w:ind w:left="2574" w:hanging="720.0000000000002"/>
      </w:pPr>
      <w:rPr/>
    </w:lvl>
    <w:lvl w:ilvl="3">
      <w:start w:val="1"/>
      <w:numFmt w:val="decimal"/>
      <w:lvlText w:val="%1.%2.%3.%4"/>
      <w:lvlJc w:val="left"/>
      <w:pPr>
        <w:ind w:left="3501" w:hanging="720"/>
      </w:pPr>
      <w:rPr/>
    </w:lvl>
    <w:lvl w:ilvl="4">
      <w:start w:val="1"/>
      <w:numFmt w:val="decimal"/>
      <w:lvlText w:val="%1.%2.%3.%4.%5"/>
      <w:lvlJc w:val="left"/>
      <w:pPr>
        <w:ind w:left="4788" w:hanging="1080"/>
      </w:pPr>
      <w:rPr/>
    </w:lvl>
    <w:lvl w:ilvl="5">
      <w:start w:val="1"/>
      <w:numFmt w:val="decimal"/>
      <w:lvlText w:val="%1.%2.%3.%4.%5.%6"/>
      <w:lvlJc w:val="left"/>
      <w:pPr>
        <w:ind w:left="5715" w:hanging="1080"/>
      </w:pPr>
      <w:rPr/>
    </w:lvl>
    <w:lvl w:ilvl="6">
      <w:start w:val="1"/>
      <w:numFmt w:val="decimal"/>
      <w:lvlText w:val="%1.%2.%3.%4.%5.%6.%7"/>
      <w:lvlJc w:val="left"/>
      <w:pPr>
        <w:ind w:left="7002" w:hanging="1440"/>
      </w:pPr>
      <w:rPr/>
    </w:lvl>
    <w:lvl w:ilvl="7">
      <w:start w:val="1"/>
      <w:numFmt w:val="decimal"/>
      <w:lvlText w:val="%1.%2.%3.%4.%5.%6.%7.%8"/>
      <w:lvlJc w:val="left"/>
      <w:pPr>
        <w:ind w:left="7929" w:hanging="1440"/>
      </w:pPr>
      <w:rPr/>
    </w:lvl>
    <w:lvl w:ilvl="8">
      <w:start w:val="1"/>
      <w:numFmt w:val="decimal"/>
      <w:lvlText w:val="%1.%2.%3.%4.%5.%6.%7.%8.%9"/>
      <w:lvlJc w:val="left"/>
      <w:pPr>
        <w:ind w:left="9216" w:hanging="180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70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yle2" w:customStyle="1">
    <w:name w:val="style2"/>
    <w:basedOn w:val="Fontepargpadro"/>
    <w:rsid w:val="00520EC3"/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np7xMX2dMhpFQbQV1hmfQiVG3g==">CgMxLjA4AHIhMS1EaWwwa3AwZERKWTh3enUtRnlYSl8yUVRXWkZYLS1v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2024-10-25T11:37:00Z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