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Procuração com poderes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|Outorgante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na cidade de {{cidade}}, estado de {{estado}}, CEP {{cep}}.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|Outorgadas</w:t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Leticia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OAB/SP n° 393.350, com endereço profissional na Av. Engº Fábio Roberto Barnabé, nº 1968, Esplanada, Indaiatuba, São Paulo, CEP 13.331-630.</w:t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|Poderes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Os poderes da procuração “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” para o foro em geral, para representar o (s) outorgante (s) perante a qualquer juízo, instância ou Tribunal, podendo, propor-lhes as ações em que for autor (es), defendê-lo (s) nas demais, recorrer, admitir litisconsorte, bem como os poderes especiais para transigir, confessar, desistir, reconhecer a procedência do pedido, renunciar ao direito sobre que se funda a ação, receber citação inicial, promover acordos, receber, dar quitações, firmar compromissos, assinar termos de compromissos, dar recibos e quaisquer documentos de caráter judicial e extrajudicial, inclusive perante a quaisquer órgãos públicos e entidades estatais, paraestatais, acompanhar diligências, nomear peritos, impugnar laudos, requerer falência e insolvência, impugnar créditos, poderes ainda, para acompanhar quaisquer processos administrativos, enfim, podendo praticar todos e quaisquer atos, para o bom, completo e fiel cumprimento do presente mandato que tem como finalidade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</w:t>
      </w:r>
    </w:p>
    <w:p w:rsidR="00000000" w:rsidDel="00000000" w:rsidP="00000000" w:rsidRDefault="00000000" w:rsidRPr="00000000" w14:paraId="00000011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-429258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7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uiPriority w:val="99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character" w:styleId="apple-converted-space" w:customStyle="1">
    <w:name w:val="apple-converted-space"/>
    <w:basedOn w:val="Fontepargpadro"/>
    <w:rsid w:val="0094152D"/>
  </w:style>
  <w:style w:type="character" w:styleId="Forte">
    <w:name w:val="Strong"/>
    <w:basedOn w:val="Fontepargpadro"/>
    <w:uiPriority w:val="22"/>
    <w:qFormat w:val="1"/>
    <w:rsid w:val="0094152D"/>
    <w:rPr>
      <w:b w:val="1"/>
      <w:bCs w:val="1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BeVlsOInm0gwgIW5BNF+lvBsA==">CgMxLjA4AHIhMVhXOVZMdTl0RDhUTDZQd2I0MmJjcDRrTzE1d3Z6cFhS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1551840969</vt:lpwstr>
  </property>
  <property fmtid="{D5CDD505-2E9C-101B-9397-08002B2CF9AE}" pid="3" name="ContentTypeId">
    <vt:lpwstr>0x01010039D7A78A4004BF429B26A491C997B708</vt:lpwstr>
  </property>
</Properties>
</file>