
<file path=[Content_Types].xml><?xml version="1.0" encoding="utf-8"?>
<Types xmlns="http://schemas.openxmlformats.org/package/2006/content-types">
  <Default Extension="bin" ContentType="application/vnd.openxmlformats-officedocument.oleObject"/>
  <Override PartName="/word/charts/chart10.xml" ContentType="application/vnd.openxmlformats-officedocument.drawingml.chart+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447" w:rsidRPr="00FA7447" w:rsidRDefault="00FA7447" w:rsidP="00FA7447">
      <w:pPr>
        <w:pStyle w:val="grey"/>
        <w:rPr>
          <w:rFonts w:ascii="Verdana" w:hAnsi="Verdana"/>
          <w:b/>
          <w:color w:val="C00000"/>
          <w:szCs w:val="22"/>
        </w:rPr>
      </w:pPr>
      <w:r w:rsidRPr="00FA7447">
        <w:rPr>
          <w:rFonts w:ascii="Verdana" w:hAnsi="Verdana"/>
          <w:b/>
          <w:color w:val="C00000"/>
          <w:szCs w:val="22"/>
        </w:rPr>
        <w:t>Case Problem Alumni Giving</w:t>
      </w:r>
    </w:p>
    <w:p w:rsidR="00FA7447" w:rsidRPr="00FA7447" w:rsidRDefault="00FA7447" w:rsidP="00FA7447">
      <w:pPr>
        <w:pStyle w:val="NormalWeb"/>
        <w:jc w:val="both"/>
        <w:rPr>
          <w:rFonts w:ascii="Verdana" w:hAnsi="Verdana"/>
          <w:b/>
          <w:color w:val="C00000"/>
          <w:szCs w:val="22"/>
        </w:rPr>
      </w:pPr>
      <w:r w:rsidRPr="00FA7447">
        <w:rPr>
          <w:rFonts w:ascii="Verdana" w:hAnsi="Verdana"/>
          <w:sz w:val="22"/>
          <w:szCs w:val="22"/>
        </w:rPr>
        <w:t xml:space="preserve">Alumni donations are an important source of revenue for colleges and universities. If administrators could determine the factors that influence increases in the percentage of alumni who make a donation, they might be able to implement policies that could lead to increased revenues. Research shows that students who are more satisfied with their contact with teachers are more likely to graduate. As a result, one might suspect that smaller class sizes and lower student-faculty ratios might lead to a higher percentage of satisfied graduates, which in turn might lead to increases in the percentage of alumni who make a donation. Table 14.13 shows data for 48 national universities (America’s Best Colleges, Year 2000 </w:t>
      </w:r>
      <w:proofErr w:type="gramStart"/>
      <w:r w:rsidRPr="00FA7447">
        <w:rPr>
          <w:rFonts w:ascii="Verdana" w:hAnsi="Verdana"/>
          <w:sz w:val="22"/>
          <w:szCs w:val="22"/>
        </w:rPr>
        <w:t>ed</w:t>
      </w:r>
      <w:proofErr w:type="gramEnd"/>
      <w:r w:rsidRPr="00FA7447">
        <w:rPr>
          <w:rFonts w:ascii="Verdana" w:hAnsi="Verdana"/>
          <w:sz w:val="22"/>
          <w:szCs w:val="22"/>
        </w:rPr>
        <w:t xml:space="preserve">.).The column labelled % of Classes </w:t>
      </w:r>
      <w:proofErr w:type="gramStart"/>
      <w:r w:rsidRPr="00FA7447">
        <w:rPr>
          <w:rFonts w:ascii="Verdana" w:hAnsi="Verdana"/>
          <w:sz w:val="22"/>
          <w:szCs w:val="22"/>
        </w:rPr>
        <w:t>under</w:t>
      </w:r>
      <w:proofErr w:type="gramEnd"/>
      <w:r w:rsidRPr="00FA7447">
        <w:rPr>
          <w:rFonts w:ascii="Verdana" w:hAnsi="Verdana"/>
          <w:sz w:val="22"/>
          <w:szCs w:val="22"/>
        </w:rPr>
        <w:t xml:space="preserve"> 20 shows the percentage of classes offered with fewer enrolled divided by the total number of faculty. Finally, the column labelled Alumni Giving Rate is the percentage of alumni that made a donation to the university. </w:t>
      </w:r>
      <w:r w:rsidRPr="00FA7447">
        <w:rPr>
          <w:rFonts w:ascii="Verdana" w:hAnsi="Verdana"/>
          <w:sz w:val="22"/>
          <w:szCs w:val="22"/>
        </w:rPr>
        <w:br/>
      </w:r>
      <w:r w:rsidRPr="00FA7447">
        <w:rPr>
          <w:rFonts w:ascii="Verdana" w:hAnsi="Verdana"/>
          <w:sz w:val="22"/>
          <w:szCs w:val="22"/>
        </w:rPr>
        <w:br/>
      </w:r>
      <w:r w:rsidRPr="00FA7447">
        <w:rPr>
          <w:rFonts w:ascii="Verdana" w:hAnsi="Verdana"/>
          <w:b/>
          <w:color w:val="C00000"/>
          <w:szCs w:val="22"/>
        </w:rPr>
        <w:t>Managerial Report</w:t>
      </w:r>
    </w:p>
    <w:p w:rsidR="001F191A" w:rsidRPr="001F191A" w:rsidRDefault="001F191A" w:rsidP="00FA7447">
      <w:pPr>
        <w:pStyle w:val="NormalWeb"/>
        <w:jc w:val="both"/>
        <w:rPr>
          <w:rFonts w:ascii="Verdana" w:hAnsi="Verdana"/>
          <w:b/>
          <w:sz w:val="22"/>
          <w:szCs w:val="22"/>
        </w:rPr>
      </w:pPr>
      <w:r w:rsidRPr="001F191A">
        <w:rPr>
          <w:rFonts w:ascii="Verdana" w:hAnsi="Verdana"/>
          <w:b/>
          <w:sz w:val="22"/>
          <w:szCs w:val="22"/>
        </w:rPr>
        <w:t>Introduction:</w:t>
      </w:r>
    </w:p>
    <w:p w:rsidR="001F191A" w:rsidRDefault="001F191A" w:rsidP="00FA7447">
      <w:pPr>
        <w:pStyle w:val="NormalWeb"/>
        <w:jc w:val="both"/>
        <w:rPr>
          <w:rFonts w:ascii="Verdana" w:hAnsi="Verdana"/>
          <w:sz w:val="22"/>
          <w:szCs w:val="22"/>
        </w:rPr>
      </w:pPr>
      <w:r>
        <w:rPr>
          <w:rFonts w:ascii="Verdana" w:hAnsi="Verdana"/>
          <w:sz w:val="22"/>
          <w:szCs w:val="22"/>
        </w:rPr>
        <w:t xml:space="preserve">The data set under consideration are % of class under 20, </w:t>
      </w:r>
      <w:r w:rsidRPr="00FA7447">
        <w:rPr>
          <w:rFonts w:ascii="Verdana" w:hAnsi="Verdana"/>
          <w:bCs/>
          <w:sz w:val="22"/>
        </w:rPr>
        <w:t>Student/Faculty Ratio</w:t>
      </w:r>
      <w:r>
        <w:rPr>
          <w:rFonts w:ascii="Verdana" w:hAnsi="Verdana"/>
          <w:bCs/>
          <w:sz w:val="22"/>
        </w:rPr>
        <w:t xml:space="preserve"> and </w:t>
      </w:r>
      <w:r w:rsidRPr="00FA7447">
        <w:rPr>
          <w:rFonts w:ascii="Verdana" w:hAnsi="Verdana"/>
          <w:bCs/>
          <w:sz w:val="22"/>
        </w:rPr>
        <w:t>Alumni Giving Rate</w:t>
      </w:r>
      <w:r>
        <w:rPr>
          <w:rFonts w:ascii="Verdana" w:hAnsi="Verdana"/>
          <w:bCs/>
          <w:sz w:val="22"/>
        </w:rPr>
        <w:t xml:space="preserve"> </w:t>
      </w:r>
      <w:r w:rsidRPr="00FA7447">
        <w:rPr>
          <w:rFonts w:ascii="Verdana" w:hAnsi="Verdana"/>
          <w:sz w:val="22"/>
          <w:szCs w:val="22"/>
        </w:rPr>
        <w:t>48 national universities</w:t>
      </w:r>
      <w:r>
        <w:rPr>
          <w:rFonts w:ascii="Verdana" w:hAnsi="Verdana"/>
          <w:sz w:val="22"/>
          <w:szCs w:val="22"/>
        </w:rPr>
        <w:t xml:space="preserve">. First of all we have to summaries the data set using summary statistics and graphs. Then we </w:t>
      </w:r>
      <w:r w:rsidR="005E2AA8" w:rsidRPr="00FA7447">
        <w:rPr>
          <w:rFonts w:ascii="Verdana" w:hAnsi="Verdana"/>
          <w:sz w:val="22"/>
          <w:szCs w:val="22"/>
        </w:rPr>
        <w:t>develop an estimated regression equation that could be used to predict the alumni giving rate giving the percentage of classes with fewer than 20 students.</w:t>
      </w:r>
      <w:r w:rsidR="005E2AA8">
        <w:rPr>
          <w:rFonts w:ascii="Verdana" w:hAnsi="Verdana"/>
          <w:sz w:val="22"/>
          <w:szCs w:val="22"/>
        </w:rPr>
        <w:t xml:space="preserve"> Also </w:t>
      </w:r>
      <w:r w:rsidR="005E2AA8" w:rsidRPr="00FA7447">
        <w:rPr>
          <w:rFonts w:ascii="Verdana" w:hAnsi="Verdana"/>
          <w:sz w:val="22"/>
          <w:szCs w:val="22"/>
        </w:rPr>
        <w:t>an estimated regression equation that could be used to predict the alumni giving rate given the student-faculty ratio</w:t>
      </w:r>
      <w:r w:rsidR="005E2AA8">
        <w:rPr>
          <w:rFonts w:ascii="Verdana" w:hAnsi="Verdana"/>
          <w:sz w:val="22"/>
          <w:szCs w:val="22"/>
        </w:rPr>
        <w:t xml:space="preserve"> is also provided</w:t>
      </w:r>
      <w:r w:rsidR="005E2AA8" w:rsidRPr="00FA7447">
        <w:rPr>
          <w:rFonts w:ascii="Verdana" w:hAnsi="Verdana"/>
          <w:sz w:val="22"/>
          <w:szCs w:val="22"/>
        </w:rPr>
        <w:t>.</w:t>
      </w:r>
      <w:r w:rsidR="005E2AA8">
        <w:rPr>
          <w:rFonts w:ascii="Verdana" w:hAnsi="Verdana"/>
          <w:sz w:val="22"/>
          <w:szCs w:val="22"/>
        </w:rPr>
        <w:t xml:space="preserve"> The residuals are analysed to assess the validity of the assumptions of the regression analysis.</w:t>
      </w:r>
    </w:p>
    <w:p w:rsidR="00FA7447" w:rsidRPr="005E2AA8" w:rsidRDefault="00FA7447" w:rsidP="00FA7447">
      <w:pPr>
        <w:pStyle w:val="NormalWeb"/>
        <w:jc w:val="both"/>
        <w:rPr>
          <w:rFonts w:ascii="Verdana" w:hAnsi="Verdana"/>
          <w:color w:val="C00000"/>
          <w:sz w:val="22"/>
          <w:szCs w:val="22"/>
        </w:rPr>
      </w:pPr>
      <w:r w:rsidRPr="005E2AA8">
        <w:rPr>
          <w:rFonts w:ascii="Verdana" w:hAnsi="Verdana"/>
          <w:color w:val="C00000"/>
          <w:sz w:val="22"/>
          <w:szCs w:val="22"/>
        </w:rPr>
        <w:t>1. Develop numerical and graphical summaries of the data.</w:t>
      </w:r>
    </w:p>
    <w:tbl>
      <w:tblPr>
        <w:tblW w:w="9933" w:type="dxa"/>
        <w:tblInd w:w="98" w:type="dxa"/>
        <w:tblLook w:val="04A0"/>
      </w:tblPr>
      <w:tblGrid>
        <w:gridCol w:w="2137"/>
        <w:gridCol w:w="2693"/>
        <w:gridCol w:w="2551"/>
        <w:gridCol w:w="2552"/>
      </w:tblGrid>
      <w:tr w:rsidR="00FA7447" w:rsidRPr="00FA7447" w:rsidTr="00FA7447">
        <w:trPr>
          <w:trHeight w:val="315"/>
        </w:trPr>
        <w:tc>
          <w:tcPr>
            <w:tcW w:w="2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b/>
                <w:bCs/>
                <w:sz w:val="24"/>
                <w:szCs w:val="24"/>
                <w:lang w:eastAsia="en-IN"/>
              </w:rPr>
            </w:pPr>
            <w:r w:rsidRPr="00FA7447">
              <w:rPr>
                <w:rFonts w:ascii="Times New Roman" w:eastAsia="Times New Roman" w:hAnsi="Times New Roman" w:cs="Times New Roman"/>
                <w:b/>
                <w:bCs/>
                <w:sz w:val="24"/>
                <w:szCs w:val="24"/>
                <w:lang w:eastAsia="en-IN"/>
              </w:rPr>
              <w:t>% of Classes Under 20</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b/>
                <w:bCs/>
                <w:sz w:val="24"/>
                <w:szCs w:val="24"/>
                <w:lang w:eastAsia="en-IN"/>
              </w:rPr>
            </w:pPr>
            <w:r w:rsidRPr="00FA7447">
              <w:rPr>
                <w:rFonts w:ascii="Times New Roman" w:eastAsia="Times New Roman" w:hAnsi="Times New Roman" w:cs="Times New Roman"/>
                <w:b/>
                <w:bCs/>
                <w:sz w:val="24"/>
                <w:szCs w:val="24"/>
                <w:lang w:eastAsia="en-IN"/>
              </w:rPr>
              <w:t>Student/Faculty Ratio</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b/>
                <w:bCs/>
                <w:sz w:val="24"/>
                <w:szCs w:val="24"/>
                <w:lang w:eastAsia="en-IN"/>
              </w:rPr>
            </w:pPr>
            <w:r w:rsidRPr="00FA7447">
              <w:rPr>
                <w:rFonts w:ascii="Times New Roman" w:eastAsia="Times New Roman" w:hAnsi="Times New Roman" w:cs="Times New Roman"/>
                <w:b/>
                <w:bCs/>
                <w:sz w:val="24"/>
                <w:szCs w:val="24"/>
                <w:lang w:eastAsia="en-IN"/>
              </w:rPr>
              <w:t>Alumni Giving Rate</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Mean</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55.72916667</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11.54166667</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29.27083333</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Standard Error</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1.904348231</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0.700150904</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1.940091114</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Median</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59.5</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10.5</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29</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Mode</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65</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13</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13</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Standard Deviation</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13.19371156</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4.850787755</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13.44134552</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Sample Variance</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174.0740248</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23.53014184</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180.6697695</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Kurtosis</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-0.956615467</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-0.440337538</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-0.071942009</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Skewness</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-0.500612795</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0.581838493</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0.370106739</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Range</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48</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20</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60</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Minimum</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29</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3</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7</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Maximum</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77</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23</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67</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Sum</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2675</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554</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1405</w:t>
            </w:r>
          </w:p>
        </w:tc>
      </w:tr>
      <w:tr w:rsidR="00FA7447" w:rsidRPr="00FA7447" w:rsidTr="00FA7447">
        <w:trPr>
          <w:trHeight w:val="315"/>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Count</w:t>
            </w:r>
          </w:p>
        </w:tc>
        <w:tc>
          <w:tcPr>
            <w:tcW w:w="2693"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48</w:t>
            </w:r>
          </w:p>
        </w:tc>
        <w:tc>
          <w:tcPr>
            <w:tcW w:w="2551"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48</w:t>
            </w:r>
          </w:p>
        </w:tc>
        <w:tc>
          <w:tcPr>
            <w:tcW w:w="2552" w:type="dxa"/>
            <w:tcBorders>
              <w:top w:val="nil"/>
              <w:left w:val="nil"/>
              <w:bottom w:val="single" w:sz="4" w:space="0" w:color="auto"/>
              <w:right w:val="single" w:sz="4" w:space="0" w:color="auto"/>
            </w:tcBorders>
            <w:shd w:val="clear" w:color="auto" w:fill="auto"/>
            <w:noWrap/>
            <w:vAlign w:val="bottom"/>
            <w:hideMark/>
          </w:tcPr>
          <w:p w:rsidR="00FA7447" w:rsidRPr="00FA7447" w:rsidRDefault="00FA7447" w:rsidP="00FA7447">
            <w:pPr>
              <w:spacing w:after="0" w:line="240" w:lineRule="auto"/>
              <w:jc w:val="center"/>
              <w:rPr>
                <w:rFonts w:ascii="Times New Roman" w:eastAsia="Times New Roman" w:hAnsi="Times New Roman" w:cs="Times New Roman"/>
                <w:sz w:val="24"/>
                <w:szCs w:val="24"/>
                <w:lang w:eastAsia="en-IN"/>
              </w:rPr>
            </w:pPr>
            <w:r w:rsidRPr="00FA7447">
              <w:rPr>
                <w:rFonts w:ascii="Times New Roman" w:eastAsia="Times New Roman" w:hAnsi="Times New Roman" w:cs="Times New Roman"/>
                <w:sz w:val="24"/>
                <w:szCs w:val="24"/>
                <w:lang w:eastAsia="en-IN"/>
              </w:rPr>
              <w:t>48</w:t>
            </w:r>
          </w:p>
        </w:tc>
      </w:tr>
    </w:tbl>
    <w:p w:rsidR="00FA7447" w:rsidRDefault="00FA7447" w:rsidP="00FA7447">
      <w:pPr>
        <w:rPr>
          <w:rFonts w:ascii="Verdana" w:hAnsi="Verdana" w:cs="PalatinoLinotype-Roman"/>
          <w:lang w:val="en-US"/>
        </w:rPr>
      </w:pPr>
    </w:p>
    <w:p w:rsidR="00FA7447" w:rsidRPr="005E2F2F" w:rsidRDefault="00FA7447" w:rsidP="00FA7447">
      <w:pPr>
        <w:jc w:val="both"/>
        <w:rPr>
          <w:rFonts w:ascii="Verdana" w:eastAsia="Calibri" w:hAnsi="Verdana" w:cs="Times New Roman"/>
          <w:b/>
        </w:rPr>
      </w:pPr>
      <w:r w:rsidRPr="005E2F2F">
        <w:rPr>
          <w:rFonts w:ascii="Verdana" w:eastAsia="Calibri" w:hAnsi="Verdana" w:cs="PalatinoLinotype-Roman"/>
          <w:lang w:val="en-US"/>
        </w:rPr>
        <w:lastRenderedPageBreak/>
        <w:t xml:space="preserve">Mean is defined as the arithmetic average </w:t>
      </w:r>
      <w:r w:rsidRPr="005E2F2F">
        <w:rPr>
          <w:rFonts w:ascii="Verdana" w:eastAsia="Calibri" w:hAnsi="Verdana" w:cs="Times New Roman"/>
        </w:rPr>
        <w:t>of data</w:t>
      </w:r>
      <w:r w:rsidRPr="005E2F2F">
        <w:rPr>
          <w:rFonts w:ascii="Verdana" w:eastAsia="Calibri" w:hAnsi="Verdana" w:cs="PalatinoLinotype-Roman"/>
          <w:lang w:val="en-US"/>
        </w:rPr>
        <w:t xml:space="preserve">, that is, the sum of all the numbers divided by the number of observations contributing to that sum. </w:t>
      </w:r>
      <w:r w:rsidRPr="005E2F2F">
        <w:rPr>
          <w:rFonts w:ascii="Verdana" w:eastAsia="Calibri" w:hAnsi="Verdana" w:cs="PalatinoLinotype-Roman"/>
        </w:rPr>
        <w:t>The mean represents the balance point, or centre of gravity of the distribution and it is the most common measure of central tendency.</w:t>
      </w:r>
    </w:p>
    <w:p w:rsidR="00FA7447" w:rsidRPr="005E2F2F" w:rsidRDefault="00FA7447" w:rsidP="00FA7447">
      <w:pPr>
        <w:pStyle w:val="NormalWeb"/>
        <w:jc w:val="both"/>
        <w:rPr>
          <w:rFonts w:ascii="Verdana" w:hAnsi="Verdana" w:cs="PalatinoLinotype-Roman"/>
          <w:sz w:val="22"/>
          <w:szCs w:val="22"/>
          <w:lang w:val="en-US"/>
        </w:rPr>
      </w:pPr>
      <w:r w:rsidRPr="005E2F2F">
        <w:rPr>
          <w:rFonts w:ascii="Verdana" w:hAnsi="Verdana"/>
          <w:sz w:val="22"/>
          <w:szCs w:val="22"/>
        </w:rPr>
        <w:t xml:space="preserve">Median is the middle most observation of the data, determined after all items are arranged in ascending or descending order of magnitude. In other words, </w:t>
      </w:r>
      <w:r w:rsidRPr="005E2F2F">
        <w:rPr>
          <w:rFonts w:ascii="Verdana" w:hAnsi="Verdana" w:cs="PalatinoLinotype-Roman"/>
          <w:sz w:val="22"/>
          <w:szCs w:val="22"/>
          <w:lang w:val="en-US"/>
        </w:rPr>
        <w:t xml:space="preserve">median is that </w:t>
      </w:r>
      <w:r w:rsidRPr="005E2F2F">
        <w:rPr>
          <w:rFonts w:ascii="Verdana" w:hAnsi="Verdana"/>
          <w:sz w:val="22"/>
          <w:szCs w:val="22"/>
          <w:lang w:val="en-US"/>
        </w:rPr>
        <w:t xml:space="preserve">observation </w:t>
      </w:r>
      <w:r w:rsidRPr="005E2F2F">
        <w:rPr>
          <w:rFonts w:ascii="Verdana" w:hAnsi="Verdana" w:cs="PalatinoLinotype-Roman"/>
          <w:sz w:val="22"/>
          <w:szCs w:val="22"/>
          <w:lang w:val="en-US"/>
        </w:rPr>
        <w:t>above which and below which lie 50% of all the data.</w:t>
      </w:r>
    </w:p>
    <w:p w:rsidR="00FA7447" w:rsidRPr="005E2F2F" w:rsidRDefault="00FA7447" w:rsidP="00FA7447">
      <w:pPr>
        <w:pStyle w:val="NormalWeb"/>
        <w:rPr>
          <w:rFonts w:ascii="Verdana" w:hAnsi="Verdana" w:cs="PalatinoLinotype-Roman"/>
          <w:sz w:val="22"/>
          <w:szCs w:val="22"/>
          <w:lang w:val="en-US"/>
        </w:rPr>
      </w:pPr>
      <w:r w:rsidRPr="005E2F2F">
        <w:rPr>
          <w:rFonts w:ascii="Verdana" w:hAnsi="Verdana" w:cs="PalatinoLinotype-Roman"/>
          <w:sz w:val="22"/>
          <w:szCs w:val="22"/>
          <w:lang w:val="en-US"/>
        </w:rPr>
        <w:t>The Mode is simply the most frequently occurring item in a distribution.</w:t>
      </w:r>
    </w:p>
    <w:p w:rsidR="00FA7447" w:rsidRPr="005E2F2F" w:rsidRDefault="00FA7447" w:rsidP="00FA7447">
      <w:pPr>
        <w:pStyle w:val="NormalWeb"/>
        <w:jc w:val="both"/>
        <w:rPr>
          <w:rFonts w:ascii="Verdana" w:hAnsi="Verdana"/>
          <w:sz w:val="22"/>
          <w:szCs w:val="22"/>
          <w:lang w:val="en-US"/>
        </w:rPr>
      </w:pPr>
      <w:r w:rsidRPr="005E2F2F">
        <w:rPr>
          <w:rFonts w:ascii="Verdana" w:hAnsi="Verdana"/>
          <w:sz w:val="22"/>
          <w:szCs w:val="22"/>
          <w:lang w:val="en-US"/>
        </w:rPr>
        <w:t>Range measures the scatter of the number of coupons used among them and not about an average.</w:t>
      </w:r>
    </w:p>
    <w:p w:rsidR="00FA7447" w:rsidRPr="005E2F2F" w:rsidRDefault="00FA7447" w:rsidP="00FA7447">
      <w:pPr>
        <w:pStyle w:val="NormalWeb"/>
        <w:jc w:val="both"/>
        <w:rPr>
          <w:rFonts w:ascii="Verdana" w:hAnsi="Verdana"/>
          <w:sz w:val="22"/>
          <w:szCs w:val="22"/>
          <w:lang w:val="en-US"/>
        </w:rPr>
      </w:pPr>
      <w:r w:rsidRPr="005E2F2F">
        <w:rPr>
          <w:rFonts w:ascii="Verdana" w:hAnsi="Verdana" w:cs="PalatinoLinotype-Roman"/>
          <w:sz w:val="22"/>
          <w:szCs w:val="22"/>
          <w:lang w:val="en-US"/>
        </w:rPr>
        <w:t xml:space="preserve">The value of the variance is interpreted as the average squared deviation of the </w:t>
      </w:r>
      <w:r w:rsidRPr="005E2F2F">
        <w:rPr>
          <w:rFonts w:ascii="Verdana" w:hAnsi="Verdana"/>
          <w:sz w:val="22"/>
          <w:szCs w:val="22"/>
          <w:lang w:val="en-US"/>
        </w:rPr>
        <w:t>observations used</w:t>
      </w:r>
      <w:r w:rsidRPr="005E2F2F">
        <w:rPr>
          <w:rFonts w:ascii="Verdana" w:hAnsi="Verdana" w:cs="PalatinoLinotype-Roman"/>
          <w:sz w:val="22"/>
          <w:szCs w:val="22"/>
          <w:lang w:val="en-US"/>
        </w:rPr>
        <w:t xml:space="preserve"> and can be used to compare different-sized distributions. </w:t>
      </w:r>
      <w:r w:rsidRPr="005E2F2F">
        <w:rPr>
          <w:rFonts w:ascii="Verdana" w:hAnsi="Verdana"/>
          <w:sz w:val="22"/>
          <w:szCs w:val="22"/>
          <w:lang w:val="en-US"/>
        </w:rPr>
        <w:t>Variance gives an idea of how much the observations in the data differ from the mean of the data. The variance and the standard deviation are both measures of the spread of the distribution about the mean.</w:t>
      </w:r>
    </w:p>
    <w:p w:rsidR="00FA7447" w:rsidRDefault="00FA7447" w:rsidP="00FA7447">
      <w:pPr>
        <w:jc w:val="both"/>
        <w:rPr>
          <w:rFonts w:ascii="Verdana" w:eastAsia="Times New Roman" w:hAnsi="Verdana"/>
          <w:lang w:eastAsia="en-IN"/>
        </w:rPr>
      </w:pPr>
      <w:r w:rsidRPr="005E2F2F">
        <w:rPr>
          <w:rFonts w:ascii="Verdana" w:eastAsia="Times New Roman" w:hAnsi="Verdana" w:cs="Times New Roman"/>
          <w:lang w:eastAsia="en-IN"/>
        </w:rPr>
        <w:t>The standard deviation is the square root of variance, a measure of the degree of dispersion of the data from the mean value. A large standard deviation indicates that the data points are far from the mean and a small standard deviation indicates that they are clustered closely around the mean.</w:t>
      </w:r>
    </w:p>
    <w:p w:rsidR="00FA7447" w:rsidRDefault="00FA7447" w:rsidP="003527EC">
      <w:pPr>
        <w:jc w:val="center"/>
        <w:rPr>
          <w:rFonts w:ascii="Verdana" w:hAnsi="Verdana" w:cs="PalatinoLinotype-Roman"/>
          <w:lang w:val="en-US"/>
        </w:rPr>
      </w:pPr>
      <w:r w:rsidRPr="00FA7447">
        <w:rPr>
          <w:rFonts w:ascii="Verdana" w:hAnsi="Verdana" w:cs="PalatinoLinotype-Roman"/>
          <w:lang w:val="en-US"/>
        </w:rPr>
        <w:drawing>
          <wp:inline distT="0" distB="0" distL="0" distR="0">
            <wp:extent cx="4254500" cy="3200400"/>
            <wp:effectExtent l="19050" t="0" r="1270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A7447" w:rsidRDefault="00FA7447" w:rsidP="003527EC">
      <w:pPr>
        <w:jc w:val="center"/>
        <w:rPr>
          <w:rFonts w:ascii="Verdana" w:hAnsi="Verdana" w:cs="PalatinoLinotype-Roman"/>
          <w:lang w:val="en-US"/>
        </w:rPr>
      </w:pPr>
      <w:r w:rsidRPr="00FA7447">
        <w:rPr>
          <w:rFonts w:ascii="Verdana" w:hAnsi="Verdana" w:cs="PalatinoLinotype-Roman"/>
          <w:lang w:val="en-US"/>
        </w:rPr>
        <w:drawing>
          <wp:inline distT="0" distB="0" distL="0" distR="0">
            <wp:extent cx="5080000" cy="1587500"/>
            <wp:effectExtent l="19050" t="0" r="254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F191A" w:rsidRDefault="001F191A" w:rsidP="00FA7447">
      <w:pPr>
        <w:jc w:val="both"/>
        <w:rPr>
          <w:rFonts w:ascii="Verdana" w:hAnsi="Verdana" w:cs="PalatinoLinotype-Roman"/>
          <w:lang w:val="en-US"/>
        </w:rPr>
      </w:pPr>
      <w:r>
        <w:rPr>
          <w:rFonts w:ascii="Verdana" w:hAnsi="Verdana" w:cs="PalatinoLinotype-Roman"/>
          <w:lang w:val="en-US"/>
        </w:rPr>
        <w:t xml:space="preserve">The histogram and box plot suggests that the distribution of % of classes under 20 is slightly negatively skewed, since </w:t>
      </w:r>
      <w:r w:rsidRPr="001F191A">
        <w:rPr>
          <w:rFonts w:ascii="Verdana" w:hAnsi="Verdana" w:cs="PalatinoLinotype-Roman"/>
          <w:lang w:val="en-US"/>
        </w:rPr>
        <w:t>most of the scores tend to occur toward the upper end of the scale while increasingly fewer scores occur toward the lower end</w:t>
      </w:r>
      <w:r>
        <w:rPr>
          <w:rFonts w:ascii="Verdana" w:hAnsi="Verdana" w:cs="PalatinoLinotype-Roman"/>
          <w:lang w:val="en-US"/>
        </w:rPr>
        <w:t>.</w:t>
      </w:r>
    </w:p>
    <w:p w:rsidR="00FA7447" w:rsidRDefault="001F191A" w:rsidP="003527EC">
      <w:pPr>
        <w:jc w:val="center"/>
        <w:rPr>
          <w:rFonts w:ascii="Verdana" w:hAnsi="Verdana" w:cs="PalatinoLinotype-Roman"/>
          <w:lang w:val="en-US"/>
        </w:rPr>
      </w:pPr>
      <w:r w:rsidRPr="001F191A">
        <w:rPr>
          <w:rFonts w:ascii="Verdana" w:hAnsi="Verdana" w:cs="PalatinoLinotype-Roman"/>
          <w:lang w:val="en-US"/>
        </w:rPr>
        <w:drawing>
          <wp:inline distT="0" distB="0" distL="0" distR="0">
            <wp:extent cx="4254500" cy="3200400"/>
            <wp:effectExtent l="19050" t="0" r="1270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F191A" w:rsidRDefault="001F191A" w:rsidP="003527EC">
      <w:pPr>
        <w:jc w:val="center"/>
        <w:rPr>
          <w:rFonts w:ascii="Verdana" w:hAnsi="Verdana" w:cs="PalatinoLinotype-Roman"/>
          <w:lang w:val="en-US"/>
        </w:rPr>
      </w:pPr>
      <w:r w:rsidRPr="001F191A">
        <w:rPr>
          <w:rFonts w:ascii="Verdana" w:hAnsi="Verdana" w:cs="PalatinoLinotype-Roman"/>
          <w:lang w:val="en-US"/>
        </w:rPr>
        <w:drawing>
          <wp:inline distT="0" distB="0" distL="0" distR="0">
            <wp:extent cx="5080000" cy="1587500"/>
            <wp:effectExtent l="19050" t="0" r="2540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F191A" w:rsidRDefault="001F191A" w:rsidP="00FA7447">
      <w:pPr>
        <w:jc w:val="both"/>
        <w:rPr>
          <w:rFonts w:ascii="Verdana" w:hAnsi="Verdana" w:cs="PalatinoLinotype-Roman"/>
          <w:lang w:val="en-US"/>
        </w:rPr>
      </w:pPr>
      <w:r>
        <w:rPr>
          <w:rFonts w:ascii="Verdana" w:hAnsi="Verdana" w:cs="PalatinoLinotype-Roman"/>
          <w:lang w:val="en-US"/>
        </w:rPr>
        <w:t>The histogram and box plot suggests that the Student/Faculty Ratio is approximately normally distributed.</w:t>
      </w:r>
    </w:p>
    <w:p w:rsidR="001F191A" w:rsidRDefault="001F191A" w:rsidP="003527EC">
      <w:pPr>
        <w:jc w:val="center"/>
        <w:rPr>
          <w:rFonts w:ascii="Verdana" w:hAnsi="Verdana" w:cs="PalatinoLinotype-Roman"/>
          <w:lang w:val="en-US"/>
        </w:rPr>
      </w:pPr>
      <w:r w:rsidRPr="001F191A">
        <w:rPr>
          <w:rFonts w:ascii="Verdana" w:hAnsi="Verdana" w:cs="PalatinoLinotype-Roman"/>
          <w:lang w:val="en-US"/>
        </w:rPr>
        <w:drawing>
          <wp:inline distT="0" distB="0" distL="0" distR="0">
            <wp:extent cx="4254500" cy="3200400"/>
            <wp:effectExtent l="19050" t="0" r="1270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191A" w:rsidRDefault="001F191A" w:rsidP="003527EC">
      <w:pPr>
        <w:jc w:val="center"/>
        <w:rPr>
          <w:rFonts w:ascii="Verdana" w:hAnsi="Verdana" w:cs="PalatinoLinotype-Roman"/>
          <w:lang w:val="en-US"/>
        </w:rPr>
      </w:pPr>
      <w:r w:rsidRPr="001F191A">
        <w:rPr>
          <w:rFonts w:ascii="Verdana" w:hAnsi="Verdana" w:cs="PalatinoLinotype-Roman"/>
          <w:lang w:val="en-US"/>
        </w:rPr>
        <w:drawing>
          <wp:inline distT="0" distB="0" distL="0" distR="0">
            <wp:extent cx="5080000" cy="1587500"/>
            <wp:effectExtent l="19050" t="0" r="2540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A7447" w:rsidRDefault="001F191A" w:rsidP="001F191A">
      <w:pPr>
        <w:jc w:val="both"/>
        <w:rPr>
          <w:rFonts w:ascii="Verdana" w:hAnsi="Verdana"/>
        </w:rPr>
      </w:pPr>
      <w:r>
        <w:rPr>
          <w:rFonts w:ascii="Verdana" w:hAnsi="Verdana" w:cs="PalatinoLinotype-Roman"/>
          <w:lang w:val="en-US"/>
        </w:rPr>
        <w:t>The histogram and box plot suggests that the Alumni Giving Rate is approximately normally distributed.</w:t>
      </w:r>
    </w:p>
    <w:p w:rsidR="00FA7447" w:rsidRPr="00191D37" w:rsidRDefault="00FA7447" w:rsidP="00FA7447">
      <w:pPr>
        <w:pStyle w:val="NormalWeb"/>
        <w:jc w:val="both"/>
        <w:rPr>
          <w:rFonts w:ascii="Verdana" w:hAnsi="Verdana"/>
          <w:color w:val="C00000"/>
          <w:sz w:val="22"/>
          <w:szCs w:val="22"/>
        </w:rPr>
      </w:pPr>
      <w:r w:rsidRPr="00191D37">
        <w:rPr>
          <w:rFonts w:ascii="Verdana" w:hAnsi="Verdana"/>
          <w:color w:val="C00000"/>
          <w:sz w:val="22"/>
          <w:szCs w:val="22"/>
        </w:rPr>
        <w:t>2. Use regression analysis to develop an estimated regression equation that could be used to predict the alumni giving rate giving the percentage of classes with fewer than 20 students.</w:t>
      </w:r>
    </w:p>
    <w:p w:rsidR="001F191A" w:rsidRDefault="005E2AA8" w:rsidP="003527EC">
      <w:pPr>
        <w:pStyle w:val="NormalWeb"/>
        <w:jc w:val="center"/>
        <w:rPr>
          <w:rFonts w:ascii="Verdana" w:hAnsi="Verdana"/>
          <w:sz w:val="22"/>
          <w:szCs w:val="22"/>
        </w:rPr>
      </w:pPr>
      <w:r w:rsidRPr="005E2AA8">
        <w:rPr>
          <w:rFonts w:ascii="Verdana" w:hAnsi="Verdana"/>
          <w:sz w:val="22"/>
          <w:szCs w:val="22"/>
        </w:rPr>
        <w:drawing>
          <wp:inline distT="0" distB="0" distL="0" distR="0">
            <wp:extent cx="4254500" cy="3200400"/>
            <wp:effectExtent l="19050" t="0" r="1270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6318" w:rsidRPr="000A4D68" w:rsidRDefault="00E46318" w:rsidP="00E46318">
      <w:pPr>
        <w:rPr>
          <w:rFonts w:ascii="Verdana" w:hAnsi="Verdana"/>
        </w:rPr>
      </w:pPr>
      <w:r w:rsidRPr="000A4D68">
        <w:rPr>
          <w:rFonts w:ascii="Verdana" w:hAnsi="Verdana"/>
        </w:rPr>
        <w:t xml:space="preserve">The general form of simple linear regression is Y= a + </w:t>
      </w:r>
      <w:proofErr w:type="spellStart"/>
      <w:r w:rsidRPr="000A4D68">
        <w:rPr>
          <w:rFonts w:ascii="Verdana" w:hAnsi="Verdana"/>
        </w:rPr>
        <w:t>bX</w:t>
      </w:r>
      <w:proofErr w:type="spellEnd"/>
    </w:p>
    <w:p w:rsidR="00E46318" w:rsidRPr="000A4D68" w:rsidRDefault="00E46318" w:rsidP="00E46318">
      <w:pPr>
        <w:rPr>
          <w:rFonts w:ascii="Verdana" w:hAnsi="Verdana"/>
        </w:rPr>
      </w:pPr>
      <w:r w:rsidRPr="000A4D68">
        <w:rPr>
          <w:rFonts w:ascii="Verdana" w:hAnsi="Verdana"/>
        </w:rPr>
        <w:t>Where Y is the dependent variable an</w:t>
      </w:r>
      <w:r>
        <w:rPr>
          <w:rFonts w:ascii="Verdana" w:hAnsi="Verdana"/>
        </w:rPr>
        <w:t xml:space="preserve">d X is the independent variable, </w:t>
      </w:r>
      <w:proofErr w:type="gramStart"/>
      <w:r w:rsidRPr="000A4D68">
        <w:rPr>
          <w:rFonts w:ascii="Verdana" w:hAnsi="Verdana"/>
        </w:rPr>
        <w:t>a and</w:t>
      </w:r>
      <w:proofErr w:type="gramEnd"/>
      <w:r w:rsidRPr="000A4D68">
        <w:rPr>
          <w:rFonts w:ascii="Verdana" w:hAnsi="Verdana"/>
        </w:rPr>
        <w:t xml:space="preserve"> be are known as the regression coefficients .They are estimated by the method of least squares. The estimates of a and b are given by</w:t>
      </w:r>
    </w:p>
    <w:p w:rsidR="00E46318" w:rsidRPr="000A4D68" w:rsidRDefault="00E46318" w:rsidP="00E46318">
      <w:pPr>
        <w:tabs>
          <w:tab w:val="left" w:pos="1395"/>
        </w:tabs>
        <w:rPr>
          <w:rFonts w:ascii="Verdana" w:hAnsi="Verdana"/>
        </w:rPr>
      </w:pPr>
      <w:r w:rsidRPr="000A4D68">
        <w:rPr>
          <w:rFonts w:ascii="Verdana" w:hAnsi="Verdana"/>
          <w:position w:val="-100"/>
        </w:rPr>
        <w:object w:dxaOrig="2420"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02pt" o:ole="">
            <v:imagedata r:id="rId11" o:title=""/>
          </v:shape>
          <o:OLEObject Type="Embed" ProgID="Equation.DSMT4" ShapeID="_x0000_i1025" DrawAspect="Content" ObjectID="_1394735141" r:id="rId12"/>
        </w:object>
      </w:r>
      <w:r w:rsidRPr="000A4D68">
        <w:rPr>
          <w:rFonts w:ascii="Verdana" w:hAnsi="Verdana"/>
        </w:rPr>
        <w:t xml:space="preserve">  </w:t>
      </w:r>
      <w:r w:rsidRPr="000A4D68">
        <w:rPr>
          <w:rFonts w:ascii="Verdana" w:hAnsi="Verdana"/>
        </w:rPr>
        <w:tab/>
      </w:r>
      <w:r w:rsidRPr="000A4D68">
        <w:rPr>
          <w:rFonts w:ascii="Verdana" w:hAnsi="Verdana"/>
          <w:position w:val="-10"/>
        </w:rPr>
        <w:object w:dxaOrig="1180" w:dyaOrig="380">
          <v:shape id="_x0000_i1026" type="#_x0000_t75" style="width:59pt;height:18.5pt" o:ole="">
            <v:imagedata r:id="rId13" o:title=""/>
          </v:shape>
          <o:OLEObject Type="Embed" ProgID="Equation.DSMT4" ShapeID="_x0000_i1026" DrawAspect="Content" ObjectID="_1394735142" r:id="rId14"/>
        </w:object>
      </w:r>
    </w:p>
    <w:p w:rsidR="00E46318" w:rsidRPr="000A4D68" w:rsidRDefault="00E46318" w:rsidP="00E46318">
      <w:pPr>
        <w:rPr>
          <w:rFonts w:ascii="Verdana" w:hAnsi="Verdana"/>
        </w:rPr>
      </w:pPr>
      <w:r w:rsidRPr="000A4D68">
        <w:rPr>
          <w:rFonts w:ascii="Verdana" w:hAnsi="Verdana"/>
        </w:rPr>
        <w:t xml:space="preserve">The parameter b measures the impact of unit change in X on the dependent variable Y. It is the slope of the regression line. The parameter </w:t>
      </w:r>
      <w:proofErr w:type="gramStart"/>
      <w:r w:rsidRPr="000A4D68">
        <w:rPr>
          <w:rFonts w:ascii="Verdana" w:hAnsi="Verdana"/>
        </w:rPr>
        <w:t>a is</w:t>
      </w:r>
      <w:proofErr w:type="gramEnd"/>
      <w:r w:rsidRPr="000A4D68">
        <w:rPr>
          <w:rFonts w:ascii="Verdana" w:hAnsi="Verdana"/>
        </w:rPr>
        <w:t xml:space="preserve"> the value of Y when X=0. It is known as the Intercept term.</w:t>
      </w:r>
    </w:p>
    <w:p w:rsidR="00E46318" w:rsidRPr="000A4D68" w:rsidRDefault="00E46318" w:rsidP="00E46318">
      <w:pPr>
        <w:rPr>
          <w:rFonts w:ascii="Verdana" w:hAnsi="Verdana"/>
        </w:rPr>
      </w:pPr>
      <w:r w:rsidRPr="000A4D68">
        <w:rPr>
          <w:rFonts w:ascii="Verdana" w:hAnsi="Verdana"/>
        </w:rPr>
        <w:t xml:space="preserve">The regression equation can be used to predict the value of Y for a given X. The predicted value of Y is given by </w:t>
      </w:r>
      <w:r w:rsidRPr="000A4D68">
        <w:rPr>
          <w:rFonts w:ascii="Verdana" w:hAnsi="Verdana"/>
          <w:position w:val="-10"/>
        </w:rPr>
        <w:object w:dxaOrig="1020" w:dyaOrig="380">
          <v:shape id="_x0000_i1027" type="#_x0000_t75" style="width:51pt;height:18.5pt" o:ole="">
            <v:imagedata r:id="rId15" o:title=""/>
          </v:shape>
          <o:OLEObject Type="Embed" ProgID="Equation.DSMT4" ShapeID="_x0000_i1027" DrawAspect="Content" ObjectID="_1394735143" r:id="rId16"/>
        </w:object>
      </w:r>
    </w:p>
    <w:p w:rsidR="00E46318" w:rsidRPr="00076E78" w:rsidRDefault="00E46318" w:rsidP="00E46318">
      <w:pPr>
        <w:pStyle w:val="ListParagraph"/>
        <w:spacing w:line="240" w:lineRule="auto"/>
        <w:ind w:left="0"/>
        <w:rPr>
          <w:rFonts w:ascii="Verdana" w:hAnsi="Verdana"/>
        </w:rPr>
      </w:pPr>
      <w:r w:rsidRPr="00076E78">
        <w:rPr>
          <w:rFonts w:ascii="Verdana" w:hAnsi="Verdana"/>
        </w:rPr>
        <w:t>N</w:t>
      </w:r>
      <w:r>
        <w:rPr>
          <w:rFonts w:ascii="Verdana" w:hAnsi="Verdana"/>
        </w:rPr>
        <w:t xml:space="preserve"> </w:t>
      </w:r>
      <w:r w:rsidRPr="00076E78">
        <w:rPr>
          <w:rFonts w:ascii="Verdana" w:hAnsi="Verdana"/>
        </w:rPr>
        <w:t>=</w:t>
      </w:r>
      <w:r>
        <w:rPr>
          <w:rFonts w:ascii="Verdana" w:hAnsi="Verdana"/>
        </w:rPr>
        <w:t xml:space="preserve"> 48</w:t>
      </w:r>
      <w:r w:rsidRPr="00076E78">
        <w:rPr>
          <w:rFonts w:ascii="Verdana" w:hAnsi="Verdana"/>
        </w:rPr>
        <w:t xml:space="preserve">, </w:t>
      </w:r>
      <w:r w:rsidRPr="00076E78">
        <w:rPr>
          <w:rFonts w:ascii="Verdana" w:hAnsi="Verdana"/>
          <w:position w:val="-28"/>
        </w:rPr>
        <w:object w:dxaOrig="620" w:dyaOrig="680">
          <v:shape id="_x0000_i1028" type="#_x0000_t75" style="width:31pt;height:34pt" o:ole="">
            <v:imagedata r:id="rId17" o:title=""/>
          </v:shape>
          <o:OLEObject Type="Embed" ProgID="Equation.DSMT4" ShapeID="_x0000_i1028" DrawAspect="Content" ObjectID="_1394735144" r:id="rId18"/>
        </w:object>
      </w:r>
      <w:r w:rsidRPr="00076E78">
        <w:rPr>
          <w:rFonts w:ascii="Verdana" w:hAnsi="Verdana"/>
        </w:rPr>
        <w:t>=</w:t>
      </w:r>
      <w:r>
        <w:rPr>
          <w:rFonts w:ascii="Verdana" w:hAnsi="Verdana"/>
        </w:rPr>
        <w:t xml:space="preserve"> 2675</w:t>
      </w:r>
      <w:proofErr w:type="gramStart"/>
      <w:r w:rsidRPr="00076E78">
        <w:rPr>
          <w:rFonts w:ascii="Verdana" w:hAnsi="Verdana"/>
        </w:rPr>
        <w:t>,</w:t>
      </w:r>
      <w:proofErr w:type="gramEnd"/>
      <w:r w:rsidRPr="00076E78">
        <w:rPr>
          <w:rFonts w:ascii="Verdana" w:hAnsi="Verdana"/>
          <w:position w:val="-28"/>
        </w:rPr>
        <w:object w:dxaOrig="540" w:dyaOrig="680">
          <v:shape id="_x0000_i1029" type="#_x0000_t75" style="width:27pt;height:34pt" o:ole="">
            <v:imagedata r:id="rId19" o:title=""/>
          </v:shape>
          <o:OLEObject Type="Embed" ProgID="Equation.DSMT4" ShapeID="_x0000_i1029" DrawAspect="Content" ObjectID="_1394735145" r:id="rId20"/>
        </w:object>
      </w:r>
      <w:r w:rsidRPr="00076E78">
        <w:rPr>
          <w:rFonts w:ascii="Verdana" w:hAnsi="Verdana"/>
        </w:rPr>
        <w:t>=</w:t>
      </w:r>
      <w:r>
        <w:rPr>
          <w:rFonts w:ascii="Verdana" w:hAnsi="Verdana"/>
        </w:rPr>
        <w:t xml:space="preserve"> 1405</w:t>
      </w:r>
      <w:r w:rsidRPr="00076E78">
        <w:rPr>
          <w:rFonts w:ascii="Verdana" w:hAnsi="Verdana"/>
        </w:rPr>
        <w:t xml:space="preserve">, </w:t>
      </w:r>
      <w:r w:rsidRPr="00076E78">
        <w:rPr>
          <w:rFonts w:ascii="Verdana" w:hAnsi="Verdana"/>
          <w:position w:val="-28"/>
        </w:rPr>
        <w:object w:dxaOrig="660" w:dyaOrig="680">
          <v:shape id="_x0000_i1030" type="#_x0000_t75" style="width:33pt;height:34pt" o:ole="">
            <v:imagedata r:id="rId21" o:title=""/>
          </v:shape>
          <o:OLEObject Type="Embed" ProgID="Equation.DSMT4" ShapeID="_x0000_i1030" DrawAspect="Content" ObjectID="_1394735146" r:id="rId22"/>
        </w:object>
      </w:r>
      <w:r w:rsidRPr="00076E78">
        <w:rPr>
          <w:rFonts w:ascii="Verdana" w:hAnsi="Verdana"/>
        </w:rPr>
        <w:t>=</w:t>
      </w:r>
      <w:r>
        <w:rPr>
          <w:rFonts w:ascii="Verdana" w:hAnsi="Verdana"/>
        </w:rPr>
        <w:t xml:space="preserve"> </w:t>
      </w:r>
      <w:r>
        <w:rPr>
          <w:rFonts w:ascii="Verdana" w:hAnsi="Verdana" w:cs="Arial"/>
        </w:rPr>
        <w:t>157257</w:t>
      </w:r>
      <w:r w:rsidRPr="00076E78">
        <w:rPr>
          <w:rFonts w:ascii="Verdana" w:hAnsi="Verdana" w:cs="Arial"/>
        </w:rPr>
        <w:t>,</w:t>
      </w:r>
      <w:r w:rsidRPr="00076E78">
        <w:rPr>
          <w:rFonts w:ascii="Verdana" w:hAnsi="Verdana"/>
          <w:position w:val="-28"/>
        </w:rPr>
        <w:object w:dxaOrig="620" w:dyaOrig="680">
          <v:shape id="_x0000_i1031" type="#_x0000_t75" style="width:31pt;height:34pt" o:ole="">
            <v:imagedata r:id="rId23" o:title=""/>
          </v:shape>
          <o:OLEObject Type="Embed" ProgID="Equation.DSMT4" ShapeID="_x0000_i1031" DrawAspect="Content" ObjectID="_1394735147" r:id="rId24"/>
        </w:object>
      </w:r>
      <w:r w:rsidRPr="00076E78">
        <w:rPr>
          <w:rFonts w:ascii="Verdana" w:hAnsi="Verdana"/>
        </w:rPr>
        <w:t>=</w:t>
      </w:r>
      <w:r w:rsidRPr="00076E78">
        <w:rPr>
          <w:rFonts w:ascii="Verdana" w:hAnsi="Verdana" w:cs="Arial"/>
        </w:rPr>
        <w:t xml:space="preserve"> </w:t>
      </w:r>
      <w:r>
        <w:rPr>
          <w:rFonts w:ascii="Verdana" w:hAnsi="Verdana" w:cs="Arial"/>
        </w:rPr>
        <w:t>49617</w:t>
      </w:r>
      <w:r w:rsidRPr="00076E78">
        <w:rPr>
          <w:rFonts w:ascii="Verdana" w:hAnsi="Verdana"/>
        </w:rPr>
        <w:t>,</w:t>
      </w:r>
      <w:r w:rsidRPr="00076E78">
        <w:rPr>
          <w:rFonts w:ascii="Verdana" w:hAnsi="Verdana"/>
          <w:position w:val="-28"/>
        </w:rPr>
        <w:object w:dxaOrig="780" w:dyaOrig="680">
          <v:shape id="_x0000_i1032" type="#_x0000_t75" style="width:39pt;height:34pt" o:ole="">
            <v:imagedata r:id="rId25" o:title=""/>
          </v:shape>
          <o:OLEObject Type="Embed" ProgID="Equation.DSMT4" ShapeID="_x0000_i1032" DrawAspect="Content" ObjectID="_1394735148" r:id="rId26"/>
        </w:object>
      </w:r>
      <w:r w:rsidRPr="00076E78">
        <w:rPr>
          <w:rFonts w:ascii="Verdana" w:hAnsi="Verdana"/>
        </w:rPr>
        <w:t>=</w:t>
      </w:r>
      <w:r w:rsidRPr="00076E78">
        <w:rPr>
          <w:rFonts w:ascii="Verdana" w:hAnsi="Verdana" w:cs="Arial"/>
        </w:rPr>
        <w:t xml:space="preserve"> </w:t>
      </w:r>
      <w:r>
        <w:rPr>
          <w:rFonts w:ascii="Verdana" w:hAnsi="Verdana" w:cs="Arial"/>
        </w:rPr>
        <w:t>83681 (Please see the excel spreadsheet)</w:t>
      </w:r>
    </w:p>
    <w:p w:rsidR="00E46318" w:rsidRDefault="00E46318" w:rsidP="00E46318">
      <w:pPr>
        <w:pStyle w:val="ListParagraph"/>
        <w:spacing w:line="240" w:lineRule="auto"/>
        <w:ind w:left="0"/>
        <w:rPr>
          <w:rFonts w:ascii="Verdana" w:hAnsi="Verdana"/>
          <w:color w:val="C00000"/>
        </w:rPr>
      </w:pPr>
      <w:r w:rsidRPr="000A4D68">
        <w:rPr>
          <w:rFonts w:ascii="Verdana" w:hAnsi="Verdana"/>
        </w:rPr>
        <w:t>The estimated value of slope b</w:t>
      </w:r>
      <w:r w:rsidRPr="000A4D68">
        <w:rPr>
          <w:rFonts w:ascii="Verdana" w:hAnsi="Verdana"/>
          <w:position w:val="-100"/>
        </w:rPr>
        <w:object w:dxaOrig="2420" w:dyaOrig="2040">
          <v:shape id="_x0000_i1033" type="#_x0000_t75" style="width:121pt;height:102pt" o:ole="">
            <v:imagedata r:id="rId11" o:title=""/>
          </v:shape>
          <o:OLEObject Type="Embed" ProgID="Equation.DSMT4" ShapeID="_x0000_i1033" DrawAspect="Content" ObjectID="_1394735149" r:id="rId27"/>
        </w:object>
      </w:r>
      <w:r w:rsidRPr="000A4D68">
        <w:rPr>
          <w:rFonts w:ascii="Verdana" w:hAnsi="Verdana"/>
        </w:rPr>
        <w:t xml:space="preserve"> = </w:t>
      </w:r>
      <w:r>
        <w:rPr>
          <w:rFonts w:ascii="Verdana" w:hAnsi="Verdana"/>
          <w:color w:val="C00000"/>
        </w:rPr>
        <w:t>0.6578</w:t>
      </w:r>
    </w:p>
    <w:p w:rsidR="00E46318" w:rsidRPr="000A4D68" w:rsidRDefault="00E46318" w:rsidP="00E46318">
      <w:pPr>
        <w:pStyle w:val="ListParagraph"/>
        <w:spacing w:line="240" w:lineRule="auto"/>
        <w:ind w:left="0"/>
        <w:rPr>
          <w:rFonts w:ascii="Verdana" w:hAnsi="Verdana"/>
          <w:color w:val="C00000"/>
        </w:rPr>
      </w:pPr>
    </w:p>
    <w:p w:rsidR="00E46318" w:rsidRPr="000A4D68" w:rsidRDefault="00E46318" w:rsidP="00E46318">
      <w:pPr>
        <w:pStyle w:val="ListParagraph"/>
        <w:spacing w:line="240" w:lineRule="auto"/>
        <w:ind w:left="0"/>
        <w:rPr>
          <w:rFonts w:ascii="Verdana" w:hAnsi="Verdana"/>
        </w:rPr>
      </w:pPr>
      <w:r w:rsidRPr="000A4D68">
        <w:rPr>
          <w:rFonts w:ascii="Verdana" w:hAnsi="Verdana"/>
        </w:rPr>
        <w:t xml:space="preserve">Estimated intercept a </w:t>
      </w:r>
      <w:r w:rsidRPr="000A4D68">
        <w:rPr>
          <w:rFonts w:ascii="Verdana" w:hAnsi="Verdana"/>
          <w:position w:val="-10"/>
        </w:rPr>
        <w:object w:dxaOrig="1180" w:dyaOrig="380">
          <v:shape id="_x0000_i1034" type="#_x0000_t75" style="width:59pt;height:18.5pt" o:ole="">
            <v:imagedata r:id="rId13" o:title=""/>
          </v:shape>
          <o:OLEObject Type="Embed" ProgID="Equation.DSMT4" ShapeID="_x0000_i1034" DrawAspect="Content" ObjectID="_1394735150" r:id="rId28"/>
        </w:object>
      </w:r>
      <w:r w:rsidRPr="000A4D68">
        <w:rPr>
          <w:rFonts w:ascii="Verdana" w:hAnsi="Verdana"/>
        </w:rPr>
        <w:t>=</w:t>
      </w:r>
      <w:r>
        <w:rPr>
          <w:rFonts w:ascii="Verdana" w:hAnsi="Verdana"/>
        </w:rPr>
        <w:t xml:space="preserve"> </w:t>
      </w:r>
      <w:r>
        <w:rPr>
          <w:rFonts w:ascii="Verdana" w:hAnsi="Verdana"/>
          <w:color w:val="C00000"/>
        </w:rPr>
        <w:t>-7.3861</w:t>
      </w:r>
    </w:p>
    <w:p w:rsidR="00E46318" w:rsidRPr="000A4D68" w:rsidRDefault="00E46318" w:rsidP="00E46318">
      <w:pPr>
        <w:pStyle w:val="ListParagraph"/>
        <w:spacing w:line="240" w:lineRule="auto"/>
        <w:ind w:left="0"/>
        <w:rPr>
          <w:rFonts w:ascii="Verdana" w:hAnsi="Verdana"/>
        </w:rPr>
      </w:pPr>
    </w:p>
    <w:p w:rsidR="00E46318" w:rsidRDefault="00E46318" w:rsidP="00E46318">
      <w:pPr>
        <w:pStyle w:val="NormalWeb"/>
        <w:jc w:val="both"/>
        <w:rPr>
          <w:rFonts w:ascii="Verdana" w:hAnsi="Verdana"/>
          <w:sz w:val="22"/>
        </w:rPr>
      </w:pPr>
      <w:r w:rsidRPr="00E46318">
        <w:rPr>
          <w:rFonts w:ascii="Verdana" w:hAnsi="Verdana"/>
          <w:sz w:val="22"/>
        </w:rPr>
        <w:t>The regression equation, Y = 0.6578*X – 7.3861</w:t>
      </w:r>
    </w:p>
    <w:p w:rsidR="00E46318" w:rsidRPr="00E46318" w:rsidRDefault="00E46318" w:rsidP="00E46318">
      <w:pPr>
        <w:pStyle w:val="NormalWeb"/>
        <w:jc w:val="both"/>
        <w:rPr>
          <w:rFonts w:ascii="Verdana" w:hAnsi="Verdana"/>
          <w:sz w:val="22"/>
        </w:rPr>
      </w:pPr>
      <w:r>
        <w:rPr>
          <w:rFonts w:ascii="Verdana" w:hAnsi="Verdana"/>
          <w:sz w:val="22"/>
        </w:rPr>
        <w:t xml:space="preserve">That is, </w:t>
      </w:r>
      <w:r w:rsidRPr="00E46318">
        <w:rPr>
          <w:rFonts w:ascii="Verdana" w:hAnsi="Verdana"/>
          <w:sz w:val="22"/>
          <w:szCs w:val="22"/>
          <w:highlight w:val="yellow"/>
        </w:rPr>
        <w:t xml:space="preserve">Alumni giving rate = </w:t>
      </w:r>
      <w:r w:rsidRPr="00E46318">
        <w:rPr>
          <w:rFonts w:ascii="Verdana" w:hAnsi="Verdana"/>
          <w:sz w:val="22"/>
          <w:highlight w:val="yellow"/>
        </w:rPr>
        <w:t>0.6578 * % of class under 20 – 7.3861</w:t>
      </w:r>
    </w:p>
    <w:tbl>
      <w:tblPr>
        <w:tblW w:w="8960" w:type="dxa"/>
        <w:tblInd w:w="103" w:type="dxa"/>
        <w:tblLook w:val="04A0"/>
      </w:tblPr>
      <w:tblGrid>
        <w:gridCol w:w="2380"/>
        <w:gridCol w:w="1620"/>
        <w:gridCol w:w="1780"/>
        <w:gridCol w:w="1540"/>
        <w:gridCol w:w="1640"/>
      </w:tblGrid>
      <w:tr w:rsidR="00E46318" w:rsidRPr="00E46318" w:rsidTr="00E46318">
        <w:trPr>
          <w:trHeight w:val="31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b/>
                <w:bCs/>
                <w:lang w:eastAsia="en-IN"/>
              </w:rPr>
            </w:pPr>
            <w:r w:rsidRPr="00E46318">
              <w:rPr>
                <w:rFonts w:ascii="Calibri" w:eastAsia="Times New Roman" w:hAnsi="Calibri" w:cs="Calibri"/>
                <w:b/>
                <w:bCs/>
                <w:lang w:eastAsia="en-IN"/>
              </w:rPr>
              <w:t>Coefficients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b/>
                <w:bCs/>
                <w:lang w:eastAsia="en-IN"/>
              </w:rPr>
            </w:pPr>
            <w:r w:rsidRPr="00E46318">
              <w:rPr>
                <w:rFonts w:ascii="Calibri" w:eastAsia="Times New Roman" w:hAnsi="Calibri" w:cs="Calibri"/>
                <w:b/>
                <w:bCs/>
                <w:lang w:eastAsia="en-IN"/>
              </w:rPr>
              <w:t>Standard Error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b/>
                <w:bCs/>
                <w:lang w:eastAsia="en-IN"/>
              </w:rPr>
            </w:pPr>
            <w:r w:rsidRPr="00E46318">
              <w:rPr>
                <w:rFonts w:ascii="Calibri" w:eastAsia="Times New Roman" w:hAnsi="Calibri" w:cs="Calibri"/>
                <w:b/>
                <w:bCs/>
                <w:lang w:eastAsia="en-IN"/>
              </w:rPr>
              <w:t>t Stat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b/>
                <w:bCs/>
                <w:lang w:eastAsia="en-IN"/>
              </w:rPr>
            </w:pPr>
            <w:r w:rsidRPr="00E46318">
              <w:rPr>
                <w:rFonts w:ascii="Calibri" w:eastAsia="Times New Roman" w:hAnsi="Calibri" w:cs="Calibri"/>
                <w:b/>
                <w:bCs/>
                <w:lang w:eastAsia="en-IN"/>
              </w:rPr>
              <w:t>P-value</w:t>
            </w:r>
          </w:p>
        </w:tc>
      </w:tr>
      <w:tr w:rsidR="00E46318" w:rsidRPr="00E46318" w:rsidTr="00E46318">
        <w:trPr>
          <w:trHeight w:val="315"/>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Intercept</w:t>
            </w:r>
          </w:p>
        </w:tc>
        <w:tc>
          <w:tcPr>
            <w:tcW w:w="162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-7.386067617</w:t>
            </w:r>
          </w:p>
        </w:tc>
        <w:tc>
          <w:tcPr>
            <w:tcW w:w="178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6.565472287</w:t>
            </w:r>
          </w:p>
        </w:tc>
        <w:tc>
          <w:tcPr>
            <w:tcW w:w="154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-1.124986489</w:t>
            </w:r>
          </w:p>
        </w:tc>
        <w:tc>
          <w:tcPr>
            <w:tcW w:w="164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0.266430663</w:t>
            </w:r>
          </w:p>
        </w:tc>
      </w:tr>
      <w:tr w:rsidR="00E46318" w:rsidRPr="00E46318" w:rsidTr="00E46318">
        <w:trPr>
          <w:trHeight w:val="33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 of Classes Under 20</w:t>
            </w:r>
          </w:p>
        </w:tc>
        <w:tc>
          <w:tcPr>
            <w:tcW w:w="162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0.65776869</w:t>
            </w:r>
          </w:p>
        </w:tc>
        <w:tc>
          <w:tcPr>
            <w:tcW w:w="178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0.114704802</w:t>
            </w:r>
          </w:p>
        </w:tc>
        <w:tc>
          <w:tcPr>
            <w:tcW w:w="154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5.734447737</w:t>
            </w:r>
          </w:p>
        </w:tc>
        <w:tc>
          <w:tcPr>
            <w:tcW w:w="164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7.22812E-07</w:t>
            </w:r>
          </w:p>
        </w:tc>
      </w:tr>
    </w:tbl>
    <w:p w:rsidR="00FA7447" w:rsidRPr="00191D37" w:rsidRDefault="00FA7447" w:rsidP="00FA7447">
      <w:pPr>
        <w:pStyle w:val="NormalWeb"/>
        <w:jc w:val="both"/>
        <w:rPr>
          <w:rFonts w:ascii="Verdana" w:hAnsi="Verdana"/>
          <w:color w:val="C00000"/>
          <w:sz w:val="22"/>
          <w:szCs w:val="22"/>
        </w:rPr>
      </w:pPr>
      <w:r w:rsidRPr="00191D37">
        <w:rPr>
          <w:rFonts w:ascii="Verdana" w:hAnsi="Verdana"/>
          <w:color w:val="C00000"/>
          <w:sz w:val="22"/>
          <w:szCs w:val="22"/>
        </w:rPr>
        <w:t>3. Use regression analysis to develop an estimated regression equation that could be used to predict the alumni giving rate given the student-faculty ratio.</w:t>
      </w:r>
    </w:p>
    <w:p w:rsidR="00E46318" w:rsidRDefault="00E46318" w:rsidP="003527EC">
      <w:pPr>
        <w:pStyle w:val="NormalWeb"/>
        <w:jc w:val="center"/>
        <w:rPr>
          <w:rFonts w:ascii="Verdana" w:hAnsi="Verdana"/>
          <w:sz w:val="22"/>
          <w:szCs w:val="22"/>
        </w:rPr>
      </w:pPr>
      <w:r w:rsidRPr="00E46318">
        <w:rPr>
          <w:rFonts w:ascii="Verdana" w:hAnsi="Verdana"/>
          <w:sz w:val="22"/>
          <w:szCs w:val="22"/>
        </w:rPr>
        <w:drawing>
          <wp:inline distT="0" distB="0" distL="0" distR="0">
            <wp:extent cx="4254500" cy="3200400"/>
            <wp:effectExtent l="19050" t="0" r="1270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46318" w:rsidRPr="000A4D68" w:rsidRDefault="00E46318" w:rsidP="00E46318">
      <w:pPr>
        <w:rPr>
          <w:rFonts w:ascii="Verdana" w:hAnsi="Verdana"/>
        </w:rPr>
      </w:pPr>
      <w:r w:rsidRPr="000A4D68">
        <w:rPr>
          <w:rFonts w:ascii="Verdana" w:hAnsi="Verdana"/>
        </w:rPr>
        <w:t xml:space="preserve">The general form of simple linear regression is Y= a + </w:t>
      </w:r>
      <w:proofErr w:type="spellStart"/>
      <w:r w:rsidRPr="000A4D68">
        <w:rPr>
          <w:rFonts w:ascii="Verdana" w:hAnsi="Verdana"/>
        </w:rPr>
        <w:t>bX</w:t>
      </w:r>
      <w:proofErr w:type="spellEnd"/>
    </w:p>
    <w:p w:rsidR="00E46318" w:rsidRPr="000A4D68" w:rsidRDefault="00E46318" w:rsidP="00E46318">
      <w:pPr>
        <w:rPr>
          <w:rFonts w:ascii="Verdana" w:hAnsi="Verdana"/>
        </w:rPr>
      </w:pPr>
      <w:r w:rsidRPr="000A4D68">
        <w:rPr>
          <w:rFonts w:ascii="Verdana" w:hAnsi="Verdana"/>
        </w:rPr>
        <w:t>Where Y is the dependent variable an</w:t>
      </w:r>
      <w:r>
        <w:rPr>
          <w:rFonts w:ascii="Verdana" w:hAnsi="Verdana"/>
        </w:rPr>
        <w:t xml:space="preserve">d X is the independent variable, </w:t>
      </w:r>
      <w:proofErr w:type="gramStart"/>
      <w:r w:rsidRPr="000A4D68">
        <w:rPr>
          <w:rFonts w:ascii="Verdana" w:hAnsi="Verdana"/>
        </w:rPr>
        <w:t>a and</w:t>
      </w:r>
      <w:proofErr w:type="gramEnd"/>
      <w:r w:rsidRPr="000A4D68">
        <w:rPr>
          <w:rFonts w:ascii="Verdana" w:hAnsi="Verdana"/>
        </w:rPr>
        <w:t xml:space="preserve"> be are known as the regression coefficients .They are estimated by the method of least squares. The estimates of a and b are given by</w:t>
      </w:r>
    </w:p>
    <w:p w:rsidR="00E46318" w:rsidRPr="000A4D68" w:rsidRDefault="00E46318" w:rsidP="00E46318">
      <w:pPr>
        <w:tabs>
          <w:tab w:val="left" w:pos="1395"/>
        </w:tabs>
        <w:rPr>
          <w:rFonts w:ascii="Verdana" w:hAnsi="Verdana"/>
        </w:rPr>
      </w:pPr>
      <w:r w:rsidRPr="000A4D68">
        <w:rPr>
          <w:rFonts w:ascii="Verdana" w:hAnsi="Verdana"/>
          <w:position w:val="-100"/>
        </w:rPr>
        <w:object w:dxaOrig="2420" w:dyaOrig="2040">
          <v:shape id="_x0000_i1035" type="#_x0000_t75" style="width:121pt;height:102pt" o:ole="">
            <v:imagedata r:id="rId11" o:title=""/>
          </v:shape>
          <o:OLEObject Type="Embed" ProgID="Equation.DSMT4" ShapeID="_x0000_i1035" DrawAspect="Content" ObjectID="_1394735151" r:id="rId30"/>
        </w:object>
      </w:r>
      <w:r w:rsidRPr="000A4D68">
        <w:rPr>
          <w:rFonts w:ascii="Verdana" w:hAnsi="Verdana"/>
        </w:rPr>
        <w:t xml:space="preserve">  </w:t>
      </w:r>
      <w:r w:rsidRPr="000A4D68">
        <w:rPr>
          <w:rFonts w:ascii="Verdana" w:hAnsi="Verdana"/>
        </w:rPr>
        <w:tab/>
      </w:r>
      <w:r w:rsidRPr="000A4D68">
        <w:rPr>
          <w:rFonts w:ascii="Verdana" w:hAnsi="Verdana"/>
          <w:position w:val="-10"/>
        </w:rPr>
        <w:object w:dxaOrig="1180" w:dyaOrig="380">
          <v:shape id="_x0000_i1036" type="#_x0000_t75" style="width:59pt;height:18.5pt" o:ole="">
            <v:imagedata r:id="rId13" o:title=""/>
          </v:shape>
          <o:OLEObject Type="Embed" ProgID="Equation.DSMT4" ShapeID="_x0000_i1036" DrawAspect="Content" ObjectID="_1394735152" r:id="rId31"/>
        </w:object>
      </w:r>
    </w:p>
    <w:p w:rsidR="00E46318" w:rsidRPr="000A4D68" w:rsidRDefault="00E46318" w:rsidP="00E46318">
      <w:pPr>
        <w:rPr>
          <w:rFonts w:ascii="Verdana" w:hAnsi="Verdana"/>
        </w:rPr>
      </w:pPr>
      <w:r w:rsidRPr="000A4D68">
        <w:rPr>
          <w:rFonts w:ascii="Verdana" w:hAnsi="Verdana"/>
        </w:rPr>
        <w:t xml:space="preserve">The parameter b measures the impact of unit change in X on the dependent variable Y. It is the slope of the regression line. The parameter </w:t>
      </w:r>
      <w:proofErr w:type="gramStart"/>
      <w:r w:rsidRPr="000A4D68">
        <w:rPr>
          <w:rFonts w:ascii="Verdana" w:hAnsi="Verdana"/>
        </w:rPr>
        <w:t>a is</w:t>
      </w:r>
      <w:proofErr w:type="gramEnd"/>
      <w:r w:rsidRPr="000A4D68">
        <w:rPr>
          <w:rFonts w:ascii="Verdana" w:hAnsi="Verdana"/>
        </w:rPr>
        <w:t xml:space="preserve"> the value of Y when X=0. It is known as the Intercept term.</w:t>
      </w:r>
    </w:p>
    <w:p w:rsidR="00E46318" w:rsidRPr="000A4D68" w:rsidRDefault="00E46318" w:rsidP="00E46318">
      <w:pPr>
        <w:rPr>
          <w:rFonts w:ascii="Verdana" w:hAnsi="Verdana"/>
        </w:rPr>
      </w:pPr>
      <w:r w:rsidRPr="000A4D68">
        <w:rPr>
          <w:rFonts w:ascii="Verdana" w:hAnsi="Verdana"/>
        </w:rPr>
        <w:t xml:space="preserve">The regression equation can be used to predict the value of Y for a given X. The predicted value of Y is given by </w:t>
      </w:r>
      <w:r w:rsidRPr="000A4D68">
        <w:rPr>
          <w:rFonts w:ascii="Verdana" w:hAnsi="Verdana"/>
          <w:position w:val="-10"/>
        </w:rPr>
        <w:object w:dxaOrig="1020" w:dyaOrig="380">
          <v:shape id="_x0000_i1037" type="#_x0000_t75" style="width:51pt;height:18.5pt" o:ole="">
            <v:imagedata r:id="rId15" o:title=""/>
          </v:shape>
          <o:OLEObject Type="Embed" ProgID="Equation.DSMT4" ShapeID="_x0000_i1037" DrawAspect="Content" ObjectID="_1394735153" r:id="rId32"/>
        </w:object>
      </w:r>
    </w:p>
    <w:p w:rsidR="00E46318" w:rsidRPr="00076E78" w:rsidRDefault="00E46318" w:rsidP="00E46318">
      <w:pPr>
        <w:pStyle w:val="ListParagraph"/>
        <w:spacing w:line="240" w:lineRule="auto"/>
        <w:ind w:left="0"/>
        <w:rPr>
          <w:rFonts w:ascii="Verdana" w:hAnsi="Verdana"/>
        </w:rPr>
      </w:pPr>
      <w:r w:rsidRPr="00076E78">
        <w:rPr>
          <w:rFonts w:ascii="Verdana" w:hAnsi="Verdana"/>
        </w:rPr>
        <w:t>N</w:t>
      </w:r>
      <w:r>
        <w:rPr>
          <w:rFonts w:ascii="Verdana" w:hAnsi="Verdana"/>
        </w:rPr>
        <w:t xml:space="preserve"> </w:t>
      </w:r>
      <w:r w:rsidRPr="00076E78">
        <w:rPr>
          <w:rFonts w:ascii="Verdana" w:hAnsi="Verdana"/>
        </w:rPr>
        <w:t>=</w:t>
      </w:r>
      <w:r>
        <w:rPr>
          <w:rFonts w:ascii="Verdana" w:hAnsi="Verdana"/>
        </w:rPr>
        <w:t xml:space="preserve"> 48</w:t>
      </w:r>
      <w:r w:rsidRPr="00076E78">
        <w:rPr>
          <w:rFonts w:ascii="Verdana" w:hAnsi="Verdana"/>
        </w:rPr>
        <w:t xml:space="preserve">, </w:t>
      </w:r>
      <w:r w:rsidRPr="00076E78">
        <w:rPr>
          <w:rFonts w:ascii="Verdana" w:hAnsi="Verdana"/>
          <w:position w:val="-28"/>
        </w:rPr>
        <w:object w:dxaOrig="620" w:dyaOrig="680">
          <v:shape id="_x0000_i1038" type="#_x0000_t75" style="width:31pt;height:34pt" o:ole="">
            <v:imagedata r:id="rId17" o:title=""/>
          </v:shape>
          <o:OLEObject Type="Embed" ProgID="Equation.DSMT4" ShapeID="_x0000_i1038" DrawAspect="Content" ObjectID="_1394735154" r:id="rId33"/>
        </w:object>
      </w:r>
      <w:r w:rsidRPr="00076E78">
        <w:rPr>
          <w:rFonts w:ascii="Verdana" w:hAnsi="Verdana"/>
        </w:rPr>
        <w:t>=</w:t>
      </w:r>
      <w:r>
        <w:rPr>
          <w:rFonts w:ascii="Verdana" w:hAnsi="Verdana"/>
        </w:rPr>
        <w:t xml:space="preserve"> 2675</w:t>
      </w:r>
      <w:proofErr w:type="gramStart"/>
      <w:r w:rsidRPr="00076E78">
        <w:rPr>
          <w:rFonts w:ascii="Verdana" w:hAnsi="Verdana"/>
        </w:rPr>
        <w:t>,</w:t>
      </w:r>
      <w:proofErr w:type="gramEnd"/>
      <w:r w:rsidRPr="00076E78">
        <w:rPr>
          <w:rFonts w:ascii="Verdana" w:hAnsi="Verdana"/>
          <w:position w:val="-28"/>
        </w:rPr>
        <w:object w:dxaOrig="540" w:dyaOrig="680">
          <v:shape id="_x0000_i1039" type="#_x0000_t75" style="width:27pt;height:34pt" o:ole="">
            <v:imagedata r:id="rId19" o:title=""/>
          </v:shape>
          <o:OLEObject Type="Embed" ProgID="Equation.DSMT4" ShapeID="_x0000_i1039" DrawAspect="Content" ObjectID="_1394735155" r:id="rId34"/>
        </w:object>
      </w:r>
      <w:r w:rsidRPr="00076E78">
        <w:rPr>
          <w:rFonts w:ascii="Verdana" w:hAnsi="Verdana"/>
        </w:rPr>
        <w:t>=</w:t>
      </w:r>
      <w:r>
        <w:rPr>
          <w:rFonts w:ascii="Verdana" w:hAnsi="Verdana"/>
        </w:rPr>
        <w:t xml:space="preserve"> 1405</w:t>
      </w:r>
      <w:r w:rsidRPr="00076E78">
        <w:rPr>
          <w:rFonts w:ascii="Verdana" w:hAnsi="Verdana"/>
        </w:rPr>
        <w:t xml:space="preserve">, </w:t>
      </w:r>
      <w:r w:rsidRPr="00076E78">
        <w:rPr>
          <w:rFonts w:ascii="Verdana" w:hAnsi="Verdana"/>
          <w:position w:val="-28"/>
        </w:rPr>
        <w:object w:dxaOrig="660" w:dyaOrig="680">
          <v:shape id="_x0000_i1040" type="#_x0000_t75" style="width:33pt;height:34pt" o:ole="">
            <v:imagedata r:id="rId21" o:title=""/>
          </v:shape>
          <o:OLEObject Type="Embed" ProgID="Equation.DSMT4" ShapeID="_x0000_i1040" DrawAspect="Content" ObjectID="_1394735156" r:id="rId35"/>
        </w:object>
      </w:r>
      <w:r w:rsidRPr="00076E78">
        <w:rPr>
          <w:rFonts w:ascii="Verdana" w:hAnsi="Verdana"/>
        </w:rPr>
        <w:t>=</w:t>
      </w:r>
      <w:r>
        <w:rPr>
          <w:rFonts w:ascii="Verdana" w:hAnsi="Verdana"/>
        </w:rPr>
        <w:t xml:space="preserve"> </w:t>
      </w:r>
      <w:r>
        <w:rPr>
          <w:rFonts w:ascii="Verdana" w:hAnsi="Verdana" w:cs="Arial"/>
        </w:rPr>
        <w:t>157257</w:t>
      </w:r>
      <w:r w:rsidRPr="00076E78">
        <w:rPr>
          <w:rFonts w:ascii="Verdana" w:hAnsi="Verdana" w:cs="Arial"/>
        </w:rPr>
        <w:t>,</w:t>
      </w:r>
      <w:r w:rsidRPr="00076E78">
        <w:rPr>
          <w:rFonts w:ascii="Verdana" w:hAnsi="Verdana"/>
          <w:position w:val="-28"/>
        </w:rPr>
        <w:object w:dxaOrig="620" w:dyaOrig="680">
          <v:shape id="_x0000_i1041" type="#_x0000_t75" style="width:31pt;height:34pt" o:ole="">
            <v:imagedata r:id="rId23" o:title=""/>
          </v:shape>
          <o:OLEObject Type="Embed" ProgID="Equation.DSMT4" ShapeID="_x0000_i1041" DrawAspect="Content" ObjectID="_1394735157" r:id="rId36"/>
        </w:object>
      </w:r>
      <w:r w:rsidRPr="00076E78">
        <w:rPr>
          <w:rFonts w:ascii="Verdana" w:hAnsi="Verdana"/>
        </w:rPr>
        <w:t>=</w:t>
      </w:r>
      <w:r w:rsidRPr="00076E78">
        <w:rPr>
          <w:rFonts w:ascii="Verdana" w:hAnsi="Verdana" w:cs="Arial"/>
        </w:rPr>
        <w:t xml:space="preserve"> </w:t>
      </w:r>
      <w:r>
        <w:rPr>
          <w:rFonts w:ascii="Verdana" w:hAnsi="Verdana" w:cs="Arial"/>
        </w:rPr>
        <w:t>49617</w:t>
      </w:r>
      <w:r w:rsidRPr="00076E78">
        <w:rPr>
          <w:rFonts w:ascii="Verdana" w:hAnsi="Verdana"/>
        </w:rPr>
        <w:t>,</w:t>
      </w:r>
      <w:r w:rsidRPr="00076E78">
        <w:rPr>
          <w:rFonts w:ascii="Verdana" w:hAnsi="Verdana"/>
          <w:position w:val="-28"/>
        </w:rPr>
        <w:object w:dxaOrig="780" w:dyaOrig="680">
          <v:shape id="_x0000_i1042" type="#_x0000_t75" style="width:39pt;height:34pt" o:ole="">
            <v:imagedata r:id="rId25" o:title=""/>
          </v:shape>
          <o:OLEObject Type="Embed" ProgID="Equation.DSMT4" ShapeID="_x0000_i1042" DrawAspect="Content" ObjectID="_1394735158" r:id="rId37"/>
        </w:object>
      </w:r>
      <w:r w:rsidRPr="00076E78">
        <w:rPr>
          <w:rFonts w:ascii="Verdana" w:hAnsi="Verdana"/>
        </w:rPr>
        <w:t>=</w:t>
      </w:r>
      <w:r w:rsidRPr="00076E78">
        <w:rPr>
          <w:rFonts w:ascii="Verdana" w:hAnsi="Verdana" w:cs="Arial"/>
        </w:rPr>
        <w:t xml:space="preserve"> </w:t>
      </w:r>
      <w:r>
        <w:rPr>
          <w:rFonts w:ascii="Verdana" w:hAnsi="Verdana" w:cs="Arial"/>
        </w:rPr>
        <w:t>83681 (Please see the excel spreadsheet)</w:t>
      </w:r>
    </w:p>
    <w:p w:rsidR="00E46318" w:rsidRDefault="00E46318" w:rsidP="00E46318">
      <w:pPr>
        <w:pStyle w:val="ListParagraph"/>
        <w:spacing w:line="240" w:lineRule="auto"/>
        <w:ind w:left="0"/>
        <w:rPr>
          <w:rFonts w:ascii="Verdana" w:hAnsi="Verdana"/>
          <w:color w:val="C00000"/>
        </w:rPr>
      </w:pPr>
      <w:r w:rsidRPr="000A4D68">
        <w:rPr>
          <w:rFonts w:ascii="Verdana" w:hAnsi="Verdana"/>
        </w:rPr>
        <w:t>The estimated value of slope b</w:t>
      </w:r>
      <w:r w:rsidRPr="000A4D68">
        <w:rPr>
          <w:rFonts w:ascii="Verdana" w:hAnsi="Verdana"/>
          <w:position w:val="-100"/>
        </w:rPr>
        <w:object w:dxaOrig="2420" w:dyaOrig="2040">
          <v:shape id="_x0000_i1043" type="#_x0000_t75" style="width:121pt;height:102pt" o:ole="">
            <v:imagedata r:id="rId11" o:title=""/>
          </v:shape>
          <o:OLEObject Type="Embed" ProgID="Equation.DSMT4" ShapeID="_x0000_i1043" DrawAspect="Content" ObjectID="_1394735159" r:id="rId38"/>
        </w:object>
      </w:r>
      <w:r w:rsidRPr="000A4D68">
        <w:rPr>
          <w:rFonts w:ascii="Verdana" w:hAnsi="Verdana"/>
        </w:rPr>
        <w:t xml:space="preserve"> = </w:t>
      </w:r>
      <w:r w:rsidR="00191D37">
        <w:rPr>
          <w:rFonts w:ascii="Verdana" w:hAnsi="Verdana"/>
          <w:color w:val="C00000"/>
        </w:rPr>
        <w:t>-2.0572</w:t>
      </w:r>
    </w:p>
    <w:p w:rsidR="00E46318" w:rsidRPr="000A4D68" w:rsidRDefault="00E46318" w:rsidP="00E46318">
      <w:pPr>
        <w:pStyle w:val="ListParagraph"/>
        <w:spacing w:line="240" w:lineRule="auto"/>
        <w:ind w:left="0"/>
        <w:rPr>
          <w:rFonts w:ascii="Verdana" w:hAnsi="Verdana"/>
          <w:color w:val="C00000"/>
        </w:rPr>
      </w:pPr>
    </w:p>
    <w:p w:rsidR="00E46318" w:rsidRPr="000A4D68" w:rsidRDefault="00E46318" w:rsidP="00E46318">
      <w:pPr>
        <w:pStyle w:val="ListParagraph"/>
        <w:spacing w:line="240" w:lineRule="auto"/>
        <w:ind w:left="0"/>
        <w:rPr>
          <w:rFonts w:ascii="Verdana" w:hAnsi="Verdana"/>
        </w:rPr>
      </w:pPr>
      <w:r w:rsidRPr="000A4D68">
        <w:rPr>
          <w:rFonts w:ascii="Verdana" w:hAnsi="Verdana"/>
        </w:rPr>
        <w:t xml:space="preserve">Estimated intercept a </w:t>
      </w:r>
      <w:r w:rsidRPr="000A4D68">
        <w:rPr>
          <w:rFonts w:ascii="Verdana" w:hAnsi="Verdana"/>
          <w:position w:val="-10"/>
        </w:rPr>
        <w:object w:dxaOrig="1180" w:dyaOrig="380">
          <v:shape id="_x0000_i1044" type="#_x0000_t75" style="width:59pt;height:18.5pt" o:ole="">
            <v:imagedata r:id="rId13" o:title=""/>
          </v:shape>
          <o:OLEObject Type="Embed" ProgID="Equation.DSMT4" ShapeID="_x0000_i1044" DrawAspect="Content" ObjectID="_1394735160" r:id="rId39"/>
        </w:object>
      </w:r>
      <w:r w:rsidRPr="000A4D68">
        <w:rPr>
          <w:rFonts w:ascii="Verdana" w:hAnsi="Verdana"/>
        </w:rPr>
        <w:t>=</w:t>
      </w:r>
      <w:r>
        <w:rPr>
          <w:rFonts w:ascii="Verdana" w:hAnsi="Verdana"/>
        </w:rPr>
        <w:t xml:space="preserve"> </w:t>
      </w:r>
      <w:r w:rsidR="00191D37">
        <w:rPr>
          <w:rFonts w:ascii="Verdana" w:hAnsi="Verdana"/>
          <w:color w:val="C00000"/>
        </w:rPr>
        <w:t>53.0138</w:t>
      </w:r>
    </w:p>
    <w:p w:rsidR="00E46318" w:rsidRPr="000A4D68" w:rsidRDefault="00E46318" w:rsidP="00E46318">
      <w:pPr>
        <w:pStyle w:val="ListParagraph"/>
        <w:spacing w:line="240" w:lineRule="auto"/>
        <w:ind w:left="0"/>
        <w:rPr>
          <w:rFonts w:ascii="Verdana" w:hAnsi="Verdana"/>
        </w:rPr>
      </w:pPr>
    </w:p>
    <w:p w:rsidR="00E46318" w:rsidRDefault="00E46318" w:rsidP="00E46318">
      <w:pPr>
        <w:pStyle w:val="NormalWeb"/>
        <w:jc w:val="both"/>
        <w:rPr>
          <w:rFonts w:ascii="Verdana" w:hAnsi="Verdana"/>
          <w:sz w:val="22"/>
        </w:rPr>
      </w:pPr>
      <w:r w:rsidRPr="00E46318">
        <w:rPr>
          <w:rFonts w:ascii="Verdana" w:hAnsi="Verdana"/>
          <w:sz w:val="22"/>
        </w:rPr>
        <w:t xml:space="preserve">The regression equation, Y = </w:t>
      </w:r>
      <w:r w:rsidR="00191D37">
        <w:rPr>
          <w:rFonts w:ascii="Verdana" w:hAnsi="Verdana"/>
          <w:sz w:val="22"/>
        </w:rPr>
        <w:t>-2.0572</w:t>
      </w:r>
      <w:r w:rsidRPr="00E46318">
        <w:rPr>
          <w:rFonts w:ascii="Verdana" w:hAnsi="Verdana"/>
          <w:sz w:val="22"/>
        </w:rPr>
        <w:t xml:space="preserve">*X </w:t>
      </w:r>
      <w:r w:rsidR="00191D37">
        <w:rPr>
          <w:rFonts w:ascii="Verdana" w:hAnsi="Verdana"/>
          <w:sz w:val="22"/>
        </w:rPr>
        <w:t>+ 53.0138</w:t>
      </w:r>
    </w:p>
    <w:p w:rsidR="00191D37" w:rsidRPr="00191D37" w:rsidRDefault="00191D37" w:rsidP="00E46318">
      <w:pPr>
        <w:pStyle w:val="NormalWeb"/>
        <w:jc w:val="both"/>
        <w:rPr>
          <w:rFonts w:ascii="Verdana" w:hAnsi="Verdana"/>
          <w:sz w:val="22"/>
          <w:szCs w:val="22"/>
        </w:rPr>
      </w:pPr>
      <w:r w:rsidRPr="00191D37">
        <w:rPr>
          <w:rFonts w:ascii="Verdana" w:hAnsi="Verdana"/>
          <w:sz w:val="22"/>
          <w:szCs w:val="22"/>
        </w:rPr>
        <w:t xml:space="preserve">That is, </w:t>
      </w:r>
      <w:r w:rsidRPr="00191D37">
        <w:rPr>
          <w:rFonts w:ascii="Verdana" w:hAnsi="Verdana"/>
          <w:sz w:val="22"/>
          <w:szCs w:val="22"/>
          <w:highlight w:val="yellow"/>
        </w:rPr>
        <w:t>Alumni giving rate = -2.0572 *</w:t>
      </w:r>
      <w:r w:rsidRPr="00191D37">
        <w:rPr>
          <w:rFonts w:ascii="Verdana" w:hAnsi="Verdana" w:cs="Calibri"/>
          <w:sz w:val="22"/>
          <w:szCs w:val="22"/>
          <w:highlight w:val="yellow"/>
        </w:rPr>
        <w:t xml:space="preserve"> </w:t>
      </w:r>
      <w:r w:rsidRPr="00E46318">
        <w:rPr>
          <w:rFonts w:ascii="Verdana" w:hAnsi="Verdana" w:cs="Calibri"/>
          <w:sz w:val="22"/>
          <w:szCs w:val="22"/>
          <w:highlight w:val="yellow"/>
        </w:rPr>
        <w:t>Student/Faculty Ratio</w:t>
      </w:r>
      <w:r w:rsidRPr="00191D37">
        <w:rPr>
          <w:rFonts w:ascii="Verdana" w:hAnsi="Verdana"/>
          <w:sz w:val="22"/>
          <w:szCs w:val="22"/>
          <w:highlight w:val="yellow"/>
        </w:rPr>
        <w:t xml:space="preserve"> + 53.0138</w:t>
      </w:r>
    </w:p>
    <w:tbl>
      <w:tblPr>
        <w:tblW w:w="8797" w:type="dxa"/>
        <w:tblInd w:w="-34" w:type="dxa"/>
        <w:tblLook w:val="04A0"/>
      </w:tblPr>
      <w:tblGrid>
        <w:gridCol w:w="2277"/>
        <w:gridCol w:w="1600"/>
        <w:gridCol w:w="1860"/>
        <w:gridCol w:w="1540"/>
        <w:gridCol w:w="1520"/>
      </w:tblGrid>
      <w:tr w:rsidR="00E46318" w:rsidRPr="00E46318" w:rsidTr="00191D37">
        <w:trPr>
          <w:trHeight w:val="300"/>
        </w:trPr>
        <w:tc>
          <w:tcPr>
            <w:tcW w:w="2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b/>
                <w:bCs/>
                <w:lang w:eastAsia="en-IN"/>
              </w:rPr>
            </w:pPr>
            <w:r w:rsidRPr="00E46318">
              <w:rPr>
                <w:rFonts w:ascii="Calibri" w:eastAsia="Times New Roman" w:hAnsi="Calibri" w:cs="Calibri"/>
                <w:b/>
                <w:bCs/>
                <w:lang w:eastAsia="en-IN"/>
              </w:rPr>
              <w:t>Coefficients</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b/>
                <w:bCs/>
                <w:lang w:eastAsia="en-IN"/>
              </w:rPr>
            </w:pPr>
            <w:r w:rsidRPr="00E46318">
              <w:rPr>
                <w:rFonts w:ascii="Calibri" w:eastAsia="Times New Roman" w:hAnsi="Calibri" w:cs="Calibri"/>
                <w:b/>
                <w:bCs/>
                <w:lang w:eastAsia="en-IN"/>
              </w:rPr>
              <w:t>Standard Error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b/>
                <w:bCs/>
                <w:lang w:eastAsia="en-IN"/>
              </w:rPr>
            </w:pPr>
            <w:r w:rsidRPr="00E46318">
              <w:rPr>
                <w:rFonts w:ascii="Calibri" w:eastAsia="Times New Roman" w:hAnsi="Calibri" w:cs="Calibri"/>
                <w:b/>
                <w:bCs/>
                <w:lang w:eastAsia="en-IN"/>
              </w:rPr>
              <w:t>t Stat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b/>
                <w:bCs/>
                <w:lang w:eastAsia="en-IN"/>
              </w:rPr>
            </w:pPr>
            <w:r w:rsidRPr="00E46318">
              <w:rPr>
                <w:rFonts w:ascii="Calibri" w:eastAsia="Times New Roman" w:hAnsi="Calibri" w:cs="Calibri"/>
                <w:b/>
                <w:bCs/>
                <w:lang w:eastAsia="en-IN"/>
              </w:rPr>
              <w:t>P-value</w:t>
            </w:r>
          </w:p>
        </w:tc>
      </w:tr>
      <w:tr w:rsidR="00E46318" w:rsidRPr="00E46318" w:rsidTr="00191D37">
        <w:trPr>
          <w:trHeight w:val="300"/>
        </w:trPr>
        <w:tc>
          <w:tcPr>
            <w:tcW w:w="2277" w:type="dxa"/>
            <w:tcBorders>
              <w:top w:val="nil"/>
              <w:left w:val="single" w:sz="4" w:space="0" w:color="auto"/>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Intercept</w:t>
            </w:r>
          </w:p>
        </w:tc>
        <w:tc>
          <w:tcPr>
            <w:tcW w:w="160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53.01382714</w:t>
            </w:r>
          </w:p>
        </w:tc>
        <w:tc>
          <w:tcPr>
            <w:tcW w:w="186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3.421450432</w:t>
            </w:r>
          </w:p>
        </w:tc>
        <w:tc>
          <w:tcPr>
            <w:tcW w:w="154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15.49454776</w:t>
            </w:r>
          </w:p>
        </w:tc>
        <w:tc>
          <w:tcPr>
            <w:tcW w:w="152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7.05881E-20</w:t>
            </w:r>
          </w:p>
        </w:tc>
      </w:tr>
      <w:tr w:rsidR="00E46318" w:rsidRPr="00E46318" w:rsidTr="00191D37">
        <w:trPr>
          <w:trHeight w:val="315"/>
        </w:trPr>
        <w:tc>
          <w:tcPr>
            <w:tcW w:w="2277" w:type="dxa"/>
            <w:tcBorders>
              <w:top w:val="nil"/>
              <w:left w:val="single" w:sz="4" w:space="0" w:color="auto"/>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Student/Faculty Ratio</w:t>
            </w:r>
          </w:p>
        </w:tc>
        <w:tc>
          <w:tcPr>
            <w:tcW w:w="160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-2.057154698</w:t>
            </w:r>
          </w:p>
        </w:tc>
        <w:tc>
          <w:tcPr>
            <w:tcW w:w="186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0.273716035</w:t>
            </w:r>
          </w:p>
        </w:tc>
        <w:tc>
          <w:tcPr>
            <w:tcW w:w="154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-7.515652861</w:t>
            </w:r>
          </w:p>
        </w:tc>
        <w:tc>
          <w:tcPr>
            <w:tcW w:w="1520" w:type="dxa"/>
            <w:tcBorders>
              <w:top w:val="nil"/>
              <w:left w:val="nil"/>
              <w:bottom w:val="single" w:sz="4" w:space="0" w:color="auto"/>
              <w:right w:val="single" w:sz="4" w:space="0" w:color="auto"/>
            </w:tcBorders>
            <w:shd w:val="clear" w:color="auto" w:fill="auto"/>
            <w:noWrap/>
            <w:vAlign w:val="bottom"/>
            <w:hideMark/>
          </w:tcPr>
          <w:p w:rsidR="00E46318" w:rsidRPr="00E46318" w:rsidRDefault="00E46318" w:rsidP="00E46318">
            <w:pPr>
              <w:spacing w:after="0" w:line="240" w:lineRule="auto"/>
              <w:jc w:val="center"/>
              <w:rPr>
                <w:rFonts w:ascii="Calibri" w:eastAsia="Times New Roman" w:hAnsi="Calibri" w:cs="Calibri"/>
                <w:lang w:eastAsia="en-IN"/>
              </w:rPr>
            </w:pPr>
            <w:r w:rsidRPr="00E46318">
              <w:rPr>
                <w:rFonts w:ascii="Calibri" w:eastAsia="Times New Roman" w:hAnsi="Calibri" w:cs="Calibri"/>
                <w:lang w:eastAsia="en-IN"/>
              </w:rPr>
              <w:t>1.54423E-09</w:t>
            </w:r>
          </w:p>
        </w:tc>
      </w:tr>
    </w:tbl>
    <w:p w:rsidR="00FA7447" w:rsidRPr="003527EC" w:rsidRDefault="00FA7447" w:rsidP="00FA7447">
      <w:pPr>
        <w:pStyle w:val="NormalWeb"/>
        <w:jc w:val="both"/>
        <w:rPr>
          <w:rFonts w:ascii="Verdana" w:hAnsi="Verdana"/>
          <w:color w:val="C00000"/>
          <w:sz w:val="22"/>
          <w:szCs w:val="22"/>
        </w:rPr>
      </w:pPr>
      <w:r w:rsidRPr="003527EC">
        <w:rPr>
          <w:rFonts w:ascii="Verdana" w:hAnsi="Verdana"/>
          <w:color w:val="C00000"/>
          <w:sz w:val="22"/>
          <w:szCs w:val="22"/>
        </w:rPr>
        <w:t>4. Which of the two estimated regression equations provide the best fit? For this estimated regression equation, perform an analysis of the residuals and discuss your findings and conclusions.</w:t>
      </w:r>
    </w:p>
    <w:p w:rsidR="00191D37" w:rsidRPr="00191D37" w:rsidRDefault="00191D37" w:rsidP="00FA7447">
      <w:pPr>
        <w:pStyle w:val="NormalWeb"/>
        <w:jc w:val="both"/>
        <w:rPr>
          <w:rFonts w:ascii="Verdana" w:hAnsi="Verdana"/>
          <w:b/>
          <w:sz w:val="22"/>
          <w:szCs w:val="22"/>
        </w:rPr>
      </w:pPr>
      <w:r w:rsidRPr="00191D37">
        <w:rPr>
          <w:rFonts w:ascii="Verdana" w:hAnsi="Verdana"/>
          <w:b/>
          <w:sz w:val="22"/>
          <w:szCs w:val="22"/>
        </w:rPr>
        <w:t>Regression Analysis: Alumni giving rate</w:t>
      </w:r>
      <w:r w:rsidRPr="00191D37">
        <w:rPr>
          <w:rFonts w:ascii="Verdana" w:hAnsi="Verdana"/>
          <w:b/>
          <w:sz w:val="22"/>
        </w:rPr>
        <w:t xml:space="preserve"> Vs % of class under 20</w:t>
      </w:r>
    </w:p>
    <w:p w:rsidR="00191D37" w:rsidRDefault="00191D37" w:rsidP="00FA7447">
      <w:pPr>
        <w:pStyle w:val="NormalWeb"/>
        <w:jc w:val="both"/>
        <w:rPr>
          <w:rFonts w:ascii="Verdana" w:hAnsi="Verdana"/>
          <w:sz w:val="22"/>
        </w:rPr>
      </w:pPr>
      <w:r w:rsidRPr="0052027B">
        <w:rPr>
          <w:rFonts w:ascii="Verdana" w:hAnsi="Verdana"/>
          <w:sz w:val="22"/>
        </w:rPr>
        <w:t>The model adequacy is measured using the R</w:t>
      </w:r>
      <w:r w:rsidRPr="0052027B">
        <w:rPr>
          <w:rFonts w:ascii="Verdana" w:hAnsi="Verdana"/>
          <w:sz w:val="22"/>
          <w:vertAlign w:val="superscript"/>
        </w:rPr>
        <w:t xml:space="preserve">2 </w:t>
      </w:r>
      <w:r w:rsidRPr="0052027B">
        <w:rPr>
          <w:rFonts w:ascii="Verdana" w:hAnsi="Verdana"/>
          <w:sz w:val="22"/>
        </w:rPr>
        <w:t>value. Here R</w:t>
      </w:r>
      <w:r w:rsidRPr="0052027B">
        <w:rPr>
          <w:rFonts w:ascii="Verdana" w:hAnsi="Verdana"/>
          <w:sz w:val="22"/>
          <w:vertAlign w:val="superscript"/>
        </w:rPr>
        <w:t>2</w:t>
      </w:r>
      <w:r w:rsidRPr="0052027B">
        <w:rPr>
          <w:rFonts w:ascii="Verdana" w:hAnsi="Verdana"/>
          <w:sz w:val="22"/>
        </w:rPr>
        <w:t xml:space="preserve"> = </w:t>
      </w:r>
      <w:r>
        <w:rPr>
          <w:rFonts w:ascii="Verdana" w:hAnsi="Verdana"/>
          <w:sz w:val="22"/>
        </w:rPr>
        <w:t>0.4169</w:t>
      </w:r>
      <w:r w:rsidRPr="0052027B">
        <w:rPr>
          <w:rFonts w:ascii="Verdana" w:hAnsi="Verdana"/>
          <w:sz w:val="22"/>
        </w:rPr>
        <w:t xml:space="preserve">. Thus </w:t>
      </w:r>
      <w:r>
        <w:rPr>
          <w:rFonts w:ascii="Verdana" w:hAnsi="Verdana"/>
          <w:sz w:val="22"/>
        </w:rPr>
        <w:t>41.69</w:t>
      </w:r>
      <w:r w:rsidRPr="0052027B">
        <w:rPr>
          <w:rFonts w:ascii="Verdana" w:hAnsi="Verdana"/>
          <w:sz w:val="22"/>
        </w:rPr>
        <w:t xml:space="preserve">% variability in the </w:t>
      </w:r>
      <w:r w:rsidRPr="00191D37">
        <w:rPr>
          <w:rFonts w:ascii="Verdana" w:hAnsi="Verdana"/>
          <w:sz w:val="22"/>
          <w:szCs w:val="22"/>
        </w:rPr>
        <w:t>Alumni giving rate</w:t>
      </w:r>
      <w:r w:rsidRPr="0052027B">
        <w:rPr>
          <w:rFonts w:ascii="Verdana" w:hAnsi="Verdana"/>
          <w:sz w:val="22"/>
        </w:rPr>
        <w:t xml:space="preserve"> can be explained by the regression model.</w:t>
      </w:r>
    </w:p>
    <w:p w:rsidR="00191D37" w:rsidRDefault="00191D37" w:rsidP="00FA7447">
      <w:pPr>
        <w:pStyle w:val="NormalWeb"/>
        <w:jc w:val="both"/>
        <w:rPr>
          <w:rFonts w:ascii="Verdana" w:hAnsi="Verdana" w:cs="Calibri"/>
          <w:sz w:val="22"/>
          <w:szCs w:val="22"/>
        </w:rPr>
      </w:pPr>
      <w:r w:rsidRPr="00191D37">
        <w:rPr>
          <w:rFonts w:ascii="Verdana" w:hAnsi="Verdana"/>
          <w:sz w:val="22"/>
          <w:szCs w:val="22"/>
        </w:rPr>
        <w:t xml:space="preserve">Standard error of estimate = </w:t>
      </w:r>
      <w:r w:rsidRPr="00191D37">
        <w:rPr>
          <w:rFonts w:ascii="Verdana" w:hAnsi="Verdana" w:cs="Calibri"/>
          <w:sz w:val="22"/>
          <w:szCs w:val="22"/>
        </w:rPr>
        <w:t>10.37522473</w:t>
      </w:r>
    </w:p>
    <w:p w:rsidR="00191D37" w:rsidRPr="00191D37" w:rsidRDefault="00191D37" w:rsidP="00FA7447">
      <w:pPr>
        <w:pStyle w:val="NormalWeb"/>
        <w:jc w:val="both"/>
        <w:rPr>
          <w:rFonts w:ascii="Verdana" w:hAnsi="Verdana"/>
          <w:sz w:val="22"/>
          <w:szCs w:val="22"/>
        </w:rPr>
      </w:pPr>
      <w:r>
        <w:rPr>
          <w:rFonts w:ascii="Verdana" w:hAnsi="Verdana" w:cs="Calibri"/>
          <w:sz w:val="22"/>
          <w:szCs w:val="22"/>
        </w:rPr>
        <w:t xml:space="preserve">As the </w:t>
      </w:r>
      <w:r>
        <w:rPr>
          <w:rFonts w:ascii="Verdana" w:hAnsi="Verdana"/>
          <w:sz w:val="22"/>
          <w:szCs w:val="22"/>
        </w:rPr>
        <w:t>s</w:t>
      </w:r>
      <w:r w:rsidRPr="00191D37">
        <w:rPr>
          <w:rFonts w:ascii="Verdana" w:hAnsi="Verdana"/>
          <w:sz w:val="22"/>
          <w:szCs w:val="22"/>
        </w:rPr>
        <w:t>tandard error of estimate</w:t>
      </w:r>
      <w:r>
        <w:rPr>
          <w:rFonts w:ascii="Verdana" w:hAnsi="Verdana"/>
          <w:sz w:val="22"/>
          <w:szCs w:val="22"/>
        </w:rPr>
        <w:t xml:space="preserve"> increases, the accuracy of prediction decreases.</w:t>
      </w:r>
    </w:p>
    <w:tbl>
      <w:tblPr>
        <w:tblW w:w="4000" w:type="dxa"/>
        <w:jc w:val="center"/>
        <w:tblInd w:w="103" w:type="dxa"/>
        <w:tblLook w:val="04A0"/>
      </w:tblPr>
      <w:tblGrid>
        <w:gridCol w:w="2331"/>
        <w:gridCol w:w="1669"/>
      </w:tblGrid>
      <w:tr w:rsidR="00191D37" w:rsidRPr="00191D37" w:rsidTr="00191D37">
        <w:trPr>
          <w:trHeight w:val="300"/>
          <w:jc w:val="center"/>
        </w:trPr>
        <w:tc>
          <w:tcPr>
            <w:tcW w:w="40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91D37" w:rsidRPr="00191D37" w:rsidRDefault="00191D37" w:rsidP="00191D37">
            <w:pPr>
              <w:spacing w:after="0" w:line="240" w:lineRule="auto"/>
              <w:jc w:val="center"/>
              <w:rPr>
                <w:rFonts w:ascii="Calibri" w:eastAsia="Times New Roman" w:hAnsi="Calibri" w:cs="Calibri"/>
                <w:b/>
                <w:bCs/>
                <w:lang w:eastAsia="en-IN"/>
              </w:rPr>
            </w:pPr>
            <w:r w:rsidRPr="00191D37">
              <w:rPr>
                <w:rFonts w:ascii="Calibri" w:eastAsia="Times New Roman" w:hAnsi="Calibri" w:cs="Calibri"/>
                <w:b/>
                <w:bCs/>
                <w:lang w:eastAsia="en-IN"/>
              </w:rPr>
              <w:t>Regression Statistics</w:t>
            </w:r>
          </w:p>
        </w:tc>
      </w:tr>
      <w:tr w:rsidR="00191D37" w:rsidRPr="00191D37" w:rsidTr="00191D37">
        <w:trPr>
          <w:trHeight w:val="30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Multiple R</w:t>
            </w:r>
          </w:p>
        </w:tc>
        <w:tc>
          <w:tcPr>
            <w:tcW w:w="1669"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0.645650419</w:t>
            </w:r>
          </w:p>
        </w:tc>
      </w:tr>
      <w:tr w:rsidR="00191D37" w:rsidRPr="00191D37" w:rsidTr="00191D37">
        <w:trPr>
          <w:trHeight w:val="30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R Square</w:t>
            </w:r>
          </w:p>
        </w:tc>
        <w:tc>
          <w:tcPr>
            <w:tcW w:w="1669"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0.416864464</w:t>
            </w:r>
          </w:p>
        </w:tc>
      </w:tr>
      <w:tr w:rsidR="00191D37" w:rsidRPr="00191D37" w:rsidTr="00191D37">
        <w:trPr>
          <w:trHeight w:val="30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Adjusted R Square</w:t>
            </w:r>
          </w:p>
        </w:tc>
        <w:tc>
          <w:tcPr>
            <w:tcW w:w="1669"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0.404187604</w:t>
            </w:r>
          </w:p>
        </w:tc>
      </w:tr>
      <w:tr w:rsidR="00191D37" w:rsidRPr="00191D37" w:rsidTr="00191D37">
        <w:trPr>
          <w:trHeight w:val="30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Standard Error</w:t>
            </w:r>
          </w:p>
        </w:tc>
        <w:tc>
          <w:tcPr>
            <w:tcW w:w="1669"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10.37522473</w:t>
            </w:r>
          </w:p>
        </w:tc>
      </w:tr>
      <w:tr w:rsidR="00191D37" w:rsidRPr="00191D37" w:rsidTr="00191D37">
        <w:trPr>
          <w:trHeight w:val="30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Observations</w:t>
            </w:r>
          </w:p>
        </w:tc>
        <w:tc>
          <w:tcPr>
            <w:tcW w:w="1669"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48</w:t>
            </w:r>
          </w:p>
        </w:tc>
      </w:tr>
    </w:tbl>
    <w:p w:rsidR="00191D37" w:rsidRPr="00191D37" w:rsidRDefault="00191D37" w:rsidP="00191D37">
      <w:pPr>
        <w:pStyle w:val="NormalWeb"/>
        <w:jc w:val="both"/>
        <w:rPr>
          <w:rFonts w:ascii="Verdana" w:hAnsi="Verdana"/>
          <w:b/>
          <w:sz w:val="22"/>
          <w:szCs w:val="22"/>
        </w:rPr>
      </w:pPr>
      <w:r w:rsidRPr="00191D37">
        <w:rPr>
          <w:rFonts w:ascii="Verdana" w:hAnsi="Verdana"/>
          <w:b/>
          <w:sz w:val="22"/>
          <w:szCs w:val="22"/>
        </w:rPr>
        <w:t>Regression Analysis: Alumni giving rate</w:t>
      </w:r>
      <w:r w:rsidRPr="00191D37">
        <w:rPr>
          <w:rFonts w:ascii="Verdana" w:hAnsi="Verdana"/>
          <w:b/>
          <w:sz w:val="22"/>
        </w:rPr>
        <w:t xml:space="preserve"> Vs </w:t>
      </w:r>
      <w:r w:rsidRPr="00E46318">
        <w:rPr>
          <w:rFonts w:ascii="Verdana" w:hAnsi="Verdana" w:cs="Calibri"/>
          <w:b/>
          <w:sz w:val="22"/>
          <w:szCs w:val="22"/>
        </w:rPr>
        <w:t>Student/Faculty Ratio</w:t>
      </w:r>
    </w:p>
    <w:p w:rsidR="00191D37" w:rsidRDefault="00191D37" w:rsidP="00191D37">
      <w:pPr>
        <w:pStyle w:val="NormalWeb"/>
        <w:jc w:val="both"/>
        <w:rPr>
          <w:rFonts w:ascii="Verdana" w:hAnsi="Verdana"/>
          <w:sz w:val="22"/>
        </w:rPr>
      </w:pPr>
      <w:r w:rsidRPr="0052027B">
        <w:rPr>
          <w:rFonts w:ascii="Verdana" w:hAnsi="Verdana"/>
          <w:sz w:val="22"/>
        </w:rPr>
        <w:t>The model adequacy is measured using the R</w:t>
      </w:r>
      <w:r w:rsidRPr="0052027B">
        <w:rPr>
          <w:rFonts w:ascii="Verdana" w:hAnsi="Verdana"/>
          <w:sz w:val="22"/>
          <w:vertAlign w:val="superscript"/>
        </w:rPr>
        <w:t xml:space="preserve">2 </w:t>
      </w:r>
      <w:r w:rsidRPr="0052027B">
        <w:rPr>
          <w:rFonts w:ascii="Verdana" w:hAnsi="Verdana"/>
          <w:sz w:val="22"/>
        </w:rPr>
        <w:t>value. Here R</w:t>
      </w:r>
      <w:r w:rsidRPr="0052027B">
        <w:rPr>
          <w:rFonts w:ascii="Verdana" w:hAnsi="Verdana"/>
          <w:sz w:val="22"/>
          <w:vertAlign w:val="superscript"/>
        </w:rPr>
        <w:t>2</w:t>
      </w:r>
      <w:r w:rsidRPr="0052027B">
        <w:rPr>
          <w:rFonts w:ascii="Verdana" w:hAnsi="Verdana"/>
          <w:sz w:val="22"/>
        </w:rPr>
        <w:t xml:space="preserve"> = </w:t>
      </w:r>
      <w:r>
        <w:rPr>
          <w:rFonts w:ascii="Verdana" w:hAnsi="Verdana"/>
          <w:sz w:val="22"/>
        </w:rPr>
        <w:t>0.5512</w:t>
      </w:r>
      <w:r w:rsidRPr="0052027B">
        <w:rPr>
          <w:rFonts w:ascii="Verdana" w:hAnsi="Verdana"/>
          <w:sz w:val="22"/>
        </w:rPr>
        <w:t xml:space="preserve">. Thus </w:t>
      </w:r>
      <w:r>
        <w:rPr>
          <w:rFonts w:ascii="Verdana" w:hAnsi="Verdana"/>
          <w:sz w:val="22"/>
        </w:rPr>
        <w:t>55.12</w:t>
      </w:r>
      <w:r w:rsidRPr="0052027B">
        <w:rPr>
          <w:rFonts w:ascii="Verdana" w:hAnsi="Verdana"/>
          <w:sz w:val="22"/>
        </w:rPr>
        <w:t xml:space="preserve">% variability in the </w:t>
      </w:r>
      <w:r w:rsidRPr="00191D37">
        <w:rPr>
          <w:rFonts w:ascii="Verdana" w:hAnsi="Verdana"/>
          <w:sz w:val="22"/>
          <w:szCs w:val="22"/>
        </w:rPr>
        <w:t>Alumni giving rate</w:t>
      </w:r>
      <w:r w:rsidRPr="0052027B">
        <w:rPr>
          <w:rFonts w:ascii="Verdana" w:hAnsi="Verdana"/>
          <w:sz w:val="22"/>
        </w:rPr>
        <w:t xml:space="preserve"> can be explained by the regression model.</w:t>
      </w:r>
    </w:p>
    <w:p w:rsidR="00191D37" w:rsidRDefault="00191D37" w:rsidP="00191D37">
      <w:pPr>
        <w:pStyle w:val="NormalWeb"/>
        <w:jc w:val="both"/>
        <w:rPr>
          <w:rFonts w:ascii="Verdana" w:hAnsi="Verdana" w:cs="Calibri"/>
          <w:sz w:val="22"/>
          <w:szCs w:val="22"/>
        </w:rPr>
      </w:pPr>
      <w:r w:rsidRPr="00191D37">
        <w:rPr>
          <w:rFonts w:ascii="Verdana" w:hAnsi="Verdana"/>
          <w:sz w:val="22"/>
          <w:szCs w:val="22"/>
        </w:rPr>
        <w:t xml:space="preserve">Standard error of estimate = </w:t>
      </w:r>
      <w:r w:rsidRPr="00191D37">
        <w:rPr>
          <w:rFonts w:ascii="Verdana" w:hAnsi="Verdana" w:cs="Calibri"/>
          <w:sz w:val="22"/>
          <w:szCs w:val="22"/>
        </w:rPr>
        <w:t>9.102515793</w:t>
      </w:r>
    </w:p>
    <w:tbl>
      <w:tblPr>
        <w:tblW w:w="3740" w:type="dxa"/>
        <w:jc w:val="center"/>
        <w:tblInd w:w="103" w:type="dxa"/>
        <w:tblLook w:val="04A0"/>
      </w:tblPr>
      <w:tblGrid>
        <w:gridCol w:w="2179"/>
        <w:gridCol w:w="1561"/>
      </w:tblGrid>
      <w:tr w:rsidR="00191D37" w:rsidRPr="00191D37" w:rsidTr="00191D37">
        <w:trPr>
          <w:trHeight w:val="300"/>
          <w:jc w:val="center"/>
        </w:trPr>
        <w:tc>
          <w:tcPr>
            <w:tcW w:w="37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91D37" w:rsidRPr="00191D37" w:rsidRDefault="00191D37" w:rsidP="00191D37">
            <w:pPr>
              <w:spacing w:after="0" w:line="240" w:lineRule="auto"/>
              <w:jc w:val="center"/>
              <w:rPr>
                <w:rFonts w:ascii="Calibri" w:eastAsia="Times New Roman" w:hAnsi="Calibri" w:cs="Calibri"/>
                <w:b/>
                <w:bCs/>
                <w:lang w:eastAsia="en-IN"/>
              </w:rPr>
            </w:pPr>
            <w:r w:rsidRPr="00191D37">
              <w:rPr>
                <w:rFonts w:ascii="Calibri" w:eastAsia="Times New Roman" w:hAnsi="Calibri" w:cs="Calibri"/>
                <w:b/>
                <w:bCs/>
                <w:lang w:eastAsia="en-IN"/>
              </w:rPr>
              <w:t>Regression Statistics</w:t>
            </w:r>
          </w:p>
        </w:tc>
      </w:tr>
      <w:tr w:rsidR="00191D37" w:rsidRPr="00191D37" w:rsidTr="00191D37">
        <w:trPr>
          <w:trHeight w:val="300"/>
          <w:jc w:val="center"/>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Multiple R</w:t>
            </w:r>
          </w:p>
        </w:tc>
        <w:tc>
          <w:tcPr>
            <w:tcW w:w="1561"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0.742397463</w:t>
            </w:r>
          </w:p>
        </w:tc>
      </w:tr>
      <w:tr w:rsidR="00191D37" w:rsidRPr="00191D37" w:rsidTr="00191D37">
        <w:trPr>
          <w:trHeight w:val="300"/>
          <w:jc w:val="center"/>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R Square</w:t>
            </w:r>
          </w:p>
        </w:tc>
        <w:tc>
          <w:tcPr>
            <w:tcW w:w="1561"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0.551153993</w:t>
            </w:r>
          </w:p>
        </w:tc>
      </w:tr>
      <w:tr w:rsidR="00191D37" w:rsidRPr="00191D37" w:rsidTr="00191D37">
        <w:trPr>
          <w:trHeight w:val="300"/>
          <w:jc w:val="center"/>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Adjusted R Square</w:t>
            </w:r>
          </w:p>
        </w:tc>
        <w:tc>
          <w:tcPr>
            <w:tcW w:w="1561"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0.541396472</w:t>
            </w:r>
          </w:p>
        </w:tc>
      </w:tr>
      <w:tr w:rsidR="00191D37" w:rsidRPr="00191D37" w:rsidTr="00191D37">
        <w:trPr>
          <w:trHeight w:val="300"/>
          <w:jc w:val="center"/>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Standard Error</w:t>
            </w:r>
          </w:p>
        </w:tc>
        <w:tc>
          <w:tcPr>
            <w:tcW w:w="1561"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9.102515793</w:t>
            </w:r>
          </w:p>
        </w:tc>
      </w:tr>
      <w:tr w:rsidR="00191D37" w:rsidRPr="00191D37" w:rsidTr="00191D37">
        <w:trPr>
          <w:trHeight w:val="300"/>
          <w:jc w:val="center"/>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rPr>
                <w:rFonts w:ascii="Calibri" w:eastAsia="Times New Roman" w:hAnsi="Calibri" w:cs="Calibri"/>
                <w:lang w:eastAsia="en-IN"/>
              </w:rPr>
            </w:pPr>
            <w:r w:rsidRPr="00191D37">
              <w:rPr>
                <w:rFonts w:ascii="Calibri" w:eastAsia="Times New Roman" w:hAnsi="Calibri" w:cs="Calibri"/>
                <w:lang w:eastAsia="en-IN"/>
              </w:rPr>
              <w:t>Observations</w:t>
            </w:r>
          </w:p>
        </w:tc>
        <w:tc>
          <w:tcPr>
            <w:tcW w:w="1561" w:type="dxa"/>
            <w:tcBorders>
              <w:top w:val="nil"/>
              <w:left w:val="nil"/>
              <w:bottom w:val="single" w:sz="4" w:space="0" w:color="auto"/>
              <w:right w:val="single" w:sz="4" w:space="0" w:color="auto"/>
            </w:tcBorders>
            <w:shd w:val="clear" w:color="auto" w:fill="auto"/>
            <w:noWrap/>
            <w:vAlign w:val="bottom"/>
            <w:hideMark/>
          </w:tcPr>
          <w:p w:rsidR="00191D37" w:rsidRPr="00191D37" w:rsidRDefault="00191D37" w:rsidP="00191D37">
            <w:pPr>
              <w:spacing w:after="0" w:line="240" w:lineRule="auto"/>
              <w:jc w:val="right"/>
              <w:rPr>
                <w:rFonts w:ascii="Calibri" w:eastAsia="Times New Roman" w:hAnsi="Calibri" w:cs="Calibri"/>
                <w:lang w:eastAsia="en-IN"/>
              </w:rPr>
            </w:pPr>
            <w:r w:rsidRPr="00191D37">
              <w:rPr>
                <w:rFonts w:ascii="Calibri" w:eastAsia="Times New Roman" w:hAnsi="Calibri" w:cs="Calibri"/>
                <w:lang w:eastAsia="en-IN"/>
              </w:rPr>
              <w:t>48</w:t>
            </w:r>
          </w:p>
        </w:tc>
      </w:tr>
    </w:tbl>
    <w:p w:rsidR="008F40A2" w:rsidRDefault="00191D37" w:rsidP="00FA7447">
      <w:pPr>
        <w:pStyle w:val="NormalWeb"/>
        <w:jc w:val="both"/>
        <w:rPr>
          <w:rFonts w:ascii="Verdana" w:hAnsi="Verdana"/>
          <w:sz w:val="22"/>
          <w:szCs w:val="22"/>
        </w:rPr>
      </w:pPr>
      <w:r>
        <w:rPr>
          <w:rFonts w:ascii="Verdana" w:hAnsi="Verdana"/>
          <w:sz w:val="22"/>
          <w:szCs w:val="22"/>
        </w:rPr>
        <w:t>Here the R</w:t>
      </w:r>
      <w:r w:rsidRPr="008F40A2">
        <w:rPr>
          <w:rFonts w:ascii="Verdana" w:hAnsi="Verdana"/>
          <w:sz w:val="22"/>
          <w:szCs w:val="22"/>
          <w:vertAlign w:val="superscript"/>
        </w:rPr>
        <w:t>2</w:t>
      </w:r>
      <w:r>
        <w:rPr>
          <w:rFonts w:ascii="Verdana" w:hAnsi="Verdana"/>
          <w:sz w:val="22"/>
          <w:szCs w:val="22"/>
        </w:rPr>
        <w:t xml:space="preserve"> value is higher and standard error of </w:t>
      </w:r>
      <w:r w:rsidR="008F40A2">
        <w:rPr>
          <w:rFonts w:ascii="Verdana" w:hAnsi="Verdana"/>
          <w:sz w:val="22"/>
          <w:szCs w:val="22"/>
        </w:rPr>
        <w:t xml:space="preserve">estimate is lower </w:t>
      </w:r>
      <w:r>
        <w:rPr>
          <w:rFonts w:ascii="Verdana" w:hAnsi="Verdana"/>
          <w:sz w:val="22"/>
          <w:szCs w:val="22"/>
        </w:rPr>
        <w:t xml:space="preserve">for the second model. </w:t>
      </w:r>
      <w:r w:rsidR="008F40A2">
        <w:rPr>
          <w:rFonts w:ascii="Verdana" w:hAnsi="Verdana"/>
          <w:sz w:val="22"/>
          <w:szCs w:val="22"/>
        </w:rPr>
        <w:t xml:space="preserve">Hence the regression analysis between </w:t>
      </w:r>
      <w:r w:rsidR="008F40A2" w:rsidRPr="008F40A2">
        <w:rPr>
          <w:rFonts w:ascii="Verdana" w:hAnsi="Verdana"/>
          <w:sz w:val="22"/>
          <w:szCs w:val="22"/>
        </w:rPr>
        <w:t>Alumni giving rate</w:t>
      </w:r>
      <w:r w:rsidR="008F40A2" w:rsidRPr="008F40A2">
        <w:rPr>
          <w:rFonts w:ascii="Verdana" w:hAnsi="Verdana"/>
          <w:sz w:val="22"/>
        </w:rPr>
        <w:t xml:space="preserve"> </w:t>
      </w:r>
      <w:r w:rsidR="008F40A2">
        <w:rPr>
          <w:rFonts w:ascii="Verdana" w:hAnsi="Verdana"/>
          <w:sz w:val="22"/>
        </w:rPr>
        <w:t xml:space="preserve">and </w:t>
      </w:r>
      <w:r w:rsidR="008F40A2" w:rsidRPr="008F40A2">
        <w:rPr>
          <w:rFonts w:ascii="Verdana" w:hAnsi="Verdana"/>
          <w:sz w:val="22"/>
        </w:rPr>
        <w:t>Student</w:t>
      </w:r>
      <w:r w:rsidR="008F40A2" w:rsidRPr="00E46318">
        <w:rPr>
          <w:rFonts w:ascii="Verdana" w:hAnsi="Verdana" w:cs="Calibri"/>
          <w:sz w:val="22"/>
          <w:szCs w:val="22"/>
        </w:rPr>
        <w:t>/Faculty Ratio</w:t>
      </w:r>
      <w:r w:rsidR="008F40A2">
        <w:rPr>
          <w:rFonts w:ascii="Verdana" w:hAnsi="Verdana" w:cs="Calibri"/>
          <w:sz w:val="22"/>
          <w:szCs w:val="22"/>
        </w:rPr>
        <w:t xml:space="preserve"> </w:t>
      </w:r>
      <w:r w:rsidR="008F40A2" w:rsidRPr="00FA7447">
        <w:rPr>
          <w:rFonts w:ascii="Verdana" w:hAnsi="Verdana"/>
          <w:sz w:val="22"/>
          <w:szCs w:val="22"/>
        </w:rPr>
        <w:t>provide</w:t>
      </w:r>
      <w:r w:rsidR="008F40A2">
        <w:rPr>
          <w:rFonts w:ascii="Verdana" w:hAnsi="Verdana"/>
          <w:sz w:val="22"/>
          <w:szCs w:val="22"/>
        </w:rPr>
        <w:t>s</w:t>
      </w:r>
      <w:r w:rsidR="008F40A2" w:rsidRPr="00FA7447">
        <w:rPr>
          <w:rFonts w:ascii="Verdana" w:hAnsi="Verdana"/>
          <w:sz w:val="22"/>
          <w:szCs w:val="22"/>
        </w:rPr>
        <w:t xml:space="preserve"> the best fit</w:t>
      </w:r>
      <w:r w:rsidR="008F40A2">
        <w:rPr>
          <w:rFonts w:ascii="Verdana" w:hAnsi="Verdana"/>
          <w:sz w:val="22"/>
          <w:szCs w:val="22"/>
        </w:rPr>
        <w:t>.</w:t>
      </w:r>
    </w:p>
    <w:p w:rsidR="008F40A2" w:rsidRDefault="008F40A2" w:rsidP="003527EC">
      <w:pPr>
        <w:pStyle w:val="NormalWeb"/>
        <w:jc w:val="center"/>
        <w:rPr>
          <w:rFonts w:ascii="Verdana" w:hAnsi="Verdana"/>
          <w:sz w:val="22"/>
          <w:szCs w:val="22"/>
        </w:rPr>
      </w:pPr>
      <w:r w:rsidRPr="008F40A2">
        <w:rPr>
          <w:rFonts w:ascii="Verdana" w:hAnsi="Verdana"/>
          <w:sz w:val="22"/>
          <w:szCs w:val="22"/>
        </w:rPr>
        <w:drawing>
          <wp:inline distT="0" distB="0" distL="0" distR="0">
            <wp:extent cx="4254500" cy="3200400"/>
            <wp:effectExtent l="19050" t="0" r="1270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F40A2" w:rsidRDefault="008F40A2" w:rsidP="003527EC">
      <w:pPr>
        <w:pStyle w:val="NormalWeb"/>
        <w:jc w:val="center"/>
        <w:rPr>
          <w:rFonts w:ascii="Verdana" w:hAnsi="Verdana"/>
          <w:sz w:val="22"/>
          <w:szCs w:val="22"/>
        </w:rPr>
      </w:pPr>
      <w:r w:rsidRPr="008F40A2">
        <w:rPr>
          <w:rFonts w:ascii="Verdana" w:hAnsi="Verdana"/>
          <w:sz w:val="22"/>
          <w:szCs w:val="22"/>
        </w:rPr>
        <w:drawing>
          <wp:inline distT="0" distB="0" distL="0" distR="0">
            <wp:extent cx="5305425" cy="2876550"/>
            <wp:effectExtent l="1905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F40A2" w:rsidRDefault="008F40A2" w:rsidP="00FA7447">
      <w:pPr>
        <w:pStyle w:val="NormalWeb"/>
        <w:jc w:val="both"/>
        <w:rPr>
          <w:rFonts w:ascii="Verdana" w:hAnsi="Verdana"/>
          <w:sz w:val="22"/>
        </w:rPr>
      </w:pPr>
      <w:r w:rsidRPr="008F40A2">
        <w:rPr>
          <w:rFonts w:ascii="Verdana" w:hAnsi="Verdana"/>
          <w:sz w:val="22"/>
        </w:rPr>
        <w:t>The normal probability plot and the histogram of residuals suggest that the residual</w:t>
      </w:r>
      <w:r>
        <w:rPr>
          <w:rFonts w:ascii="Verdana" w:hAnsi="Verdana"/>
          <w:sz w:val="22"/>
        </w:rPr>
        <w:t>s</w:t>
      </w:r>
      <w:r w:rsidRPr="008F40A2">
        <w:rPr>
          <w:rFonts w:ascii="Verdana" w:hAnsi="Verdana"/>
          <w:sz w:val="22"/>
        </w:rPr>
        <w:t xml:space="preserve"> are </w:t>
      </w:r>
      <w:r>
        <w:rPr>
          <w:rFonts w:ascii="Verdana" w:hAnsi="Verdana"/>
          <w:sz w:val="22"/>
        </w:rPr>
        <w:t>approximately normally distributed</w:t>
      </w:r>
      <w:r w:rsidRPr="008F40A2">
        <w:rPr>
          <w:rFonts w:ascii="Verdana" w:hAnsi="Verdana"/>
          <w:sz w:val="22"/>
        </w:rPr>
        <w:t>.</w:t>
      </w:r>
    </w:p>
    <w:p w:rsidR="008F40A2" w:rsidRDefault="008F40A2" w:rsidP="003527EC">
      <w:pPr>
        <w:pStyle w:val="NormalWeb"/>
        <w:jc w:val="center"/>
        <w:rPr>
          <w:rFonts w:ascii="Verdana" w:hAnsi="Verdana"/>
          <w:sz w:val="20"/>
          <w:szCs w:val="22"/>
        </w:rPr>
      </w:pPr>
      <w:r w:rsidRPr="008F40A2">
        <w:rPr>
          <w:rFonts w:ascii="Verdana" w:hAnsi="Verdana"/>
          <w:sz w:val="20"/>
          <w:szCs w:val="22"/>
        </w:rPr>
        <w:drawing>
          <wp:inline distT="0" distB="0" distL="0" distR="0">
            <wp:extent cx="5257800" cy="3057524"/>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91D37" w:rsidRPr="008F40A2" w:rsidRDefault="008F40A2" w:rsidP="00FA7447">
      <w:pPr>
        <w:pStyle w:val="NormalWeb"/>
        <w:jc w:val="both"/>
        <w:rPr>
          <w:rFonts w:ascii="Verdana" w:hAnsi="Verdana"/>
          <w:sz w:val="20"/>
          <w:szCs w:val="22"/>
        </w:rPr>
      </w:pPr>
      <w:r w:rsidRPr="0011101B">
        <w:rPr>
          <w:rFonts w:ascii="Verdana" w:hAnsi="Verdana"/>
          <w:sz w:val="22"/>
        </w:rPr>
        <w:t xml:space="preserve">Since there is no </w:t>
      </w:r>
      <w:r>
        <w:rPr>
          <w:rFonts w:ascii="Verdana" w:hAnsi="Verdana"/>
          <w:sz w:val="22"/>
        </w:rPr>
        <w:t xml:space="preserve">specific </w:t>
      </w:r>
      <w:r w:rsidRPr="0011101B">
        <w:rPr>
          <w:rFonts w:ascii="Verdana" w:hAnsi="Verdana"/>
          <w:sz w:val="22"/>
        </w:rPr>
        <w:t>pattern for the points, the points on the plot of residuals against the fitted value are at random. Hence we can conclude that the errors are independent and have a constant variance.</w:t>
      </w:r>
      <w:r w:rsidRPr="008F40A2">
        <w:rPr>
          <w:rFonts w:ascii="Verdana" w:hAnsi="Verdana"/>
          <w:sz w:val="20"/>
          <w:szCs w:val="22"/>
        </w:rPr>
        <w:t xml:space="preserve"> </w:t>
      </w:r>
      <w:r w:rsidR="00191D37" w:rsidRPr="008F40A2">
        <w:rPr>
          <w:rFonts w:ascii="Verdana" w:hAnsi="Verdana"/>
          <w:sz w:val="20"/>
          <w:szCs w:val="22"/>
        </w:rPr>
        <w:t xml:space="preserve"> </w:t>
      </w:r>
    </w:p>
    <w:p w:rsidR="00191D37" w:rsidRPr="003527EC" w:rsidRDefault="00FA7447" w:rsidP="00FA7447">
      <w:pPr>
        <w:pStyle w:val="NormalWeb"/>
        <w:jc w:val="both"/>
        <w:rPr>
          <w:rFonts w:ascii="Verdana" w:hAnsi="Verdana"/>
          <w:color w:val="C00000"/>
          <w:sz w:val="22"/>
          <w:szCs w:val="22"/>
        </w:rPr>
      </w:pPr>
      <w:r w:rsidRPr="003527EC">
        <w:rPr>
          <w:rFonts w:ascii="Verdana" w:hAnsi="Verdana"/>
          <w:color w:val="C00000"/>
          <w:sz w:val="22"/>
          <w:szCs w:val="22"/>
        </w:rPr>
        <w:t>5. What conclusions and recommendations can you derive from your analysis?</w:t>
      </w:r>
    </w:p>
    <w:p w:rsidR="003527EC" w:rsidRDefault="003527EC" w:rsidP="00FA7447">
      <w:pPr>
        <w:pStyle w:val="NormalWeb"/>
        <w:jc w:val="both"/>
        <w:rPr>
          <w:rFonts w:ascii="Verdana" w:hAnsi="Verdana"/>
          <w:sz w:val="22"/>
          <w:szCs w:val="22"/>
        </w:rPr>
      </w:pPr>
      <w:r>
        <w:rPr>
          <w:rFonts w:ascii="Verdana" w:hAnsi="Verdana"/>
          <w:sz w:val="22"/>
          <w:szCs w:val="22"/>
        </w:rPr>
        <w:t>The estimated regression equation is given by</w:t>
      </w:r>
    </w:p>
    <w:p w:rsidR="003527EC" w:rsidRDefault="003527EC" w:rsidP="00FA7447">
      <w:pPr>
        <w:pStyle w:val="NormalWeb"/>
        <w:jc w:val="both"/>
        <w:rPr>
          <w:rFonts w:ascii="Verdana" w:hAnsi="Verdana"/>
          <w:sz w:val="22"/>
          <w:szCs w:val="22"/>
        </w:rPr>
      </w:pPr>
      <w:r w:rsidRPr="003527EC">
        <w:rPr>
          <w:rFonts w:ascii="Verdana" w:hAnsi="Verdana"/>
          <w:sz w:val="22"/>
          <w:szCs w:val="22"/>
        </w:rPr>
        <w:t>Alumni giving rate = -2.0572 *</w:t>
      </w:r>
      <w:r w:rsidRPr="003527EC">
        <w:rPr>
          <w:rFonts w:ascii="Verdana" w:hAnsi="Verdana" w:cs="Calibri"/>
          <w:sz w:val="22"/>
          <w:szCs w:val="22"/>
        </w:rPr>
        <w:t xml:space="preserve"> </w:t>
      </w:r>
      <w:r w:rsidRPr="00E46318">
        <w:rPr>
          <w:rFonts w:ascii="Verdana" w:hAnsi="Verdana" w:cs="Calibri"/>
          <w:sz w:val="22"/>
          <w:szCs w:val="22"/>
        </w:rPr>
        <w:t>Student/Faculty Ratio</w:t>
      </w:r>
      <w:r w:rsidRPr="003527EC">
        <w:rPr>
          <w:rFonts w:ascii="Verdana" w:hAnsi="Verdana"/>
          <w:sz w:val="22"/>
          <w:szCs w:val="22"/>
        </w:rPr>
        <w:t xml:space="preserve"> + 53.0138</w:t>
      </w:r>
    </w:p>
    <w:p w:rsidR="003527EC" w:rsidRDefault="003527EC" w:rsidP="00FA7447">
      <w:pPr>
        <w:pStyle w:val="NormalWeb"/>
        <w:jc w:val="both"/>
        <w:rPr>
          <w:rFonts w:ascii="Verdana" w:hAnsi="Verdana"/>
          <w:sz w:val="22"/>
          <w:szCs w:val="22"/>
        </w:rPr>
      </w:pPr>
      <w:r>
        <w:rPr>
          <w:rFonts w:ascii="Verdana" w:hAnsi="Verdana"/>
          <w:sz w:val="22"/>
          <w:szCs w:val="22"/>
        </w:rPr>
        <w:t>The regression coefficient can be interpreted as</w:t>
      </w:r>
    </w:p>
    <w:p w:rsidR="003527EC" w:rsidRDefault="003527EC" w:rsidP="00FA7447">
      <w:pPr>
        <w:pStyle w:val="NormalWeb"/>
        <w:jc w:val="both"/>
        <w:rPr>
          <w:rFonts w:ascii="Verdana" w:hAnsi="Verdana"/>
          <w:sz w:val="22"/>
          <w:szCs w:val="22"/>
        </w:rPr>
      </w:pPr>
      <w:r>
        <w:rPr>
          <w:rFonts w:ascii="Verdana" w:hAnsi="Verdana"/>
          <w:sz w:val="22"/>
          <w:szCs w:val="22"/>
        </w:rPr>
        <w:t xml:space="preserve">For a unit increase in the </w:t>
      </w:r>
      <w:r w:rsidRPr="00E46318">
        <w:rPr>
          <w:rFonts w:ascii="Verdana" w:hAnsi="Verdana" w:cs="Calibri"/>
          <w:sz w:val="22"/>
          <w:szCs w:val="22"/>
        </w:rPr>
        <w:t>Student/Faculty Ratio</w:t>
      </w:r>
      <w:r>
        <w:rPr>
          <w:rFonts w:ascii="Verdana" w:hAnsi="Verdana" w:cs="Calibri"/>
          <w:sz w:val="22"/>
          <w:szCs w:val="22"/>
        </w:rPr>
        <w:t xml:space="preserve">, the </w:t>
      </w:r>
      <w:r w:rsidRPr="003527EC">
        <w:rPr>
          <w:rFonts w:ascii="Verdana" w:hAnsi="Verdana"/>
          <w:sz w:val="22"/>
          <w:szCs w:val="22"/>
        </w:rPr>
        <w:t>Alumni giving rate</w:t>
      </w:r>
      <w:r>
        <w:rPr>
          <w:rFonts w:ascii="Verdana" w:hAnsi="Verdana"/>
          <w:sz w:val="22"/>
          <w:szCs w:val="22"/>
        </w:rPr>
        <w:t xml:space="preserve"> decreases by </w:t>
      </w:r>
      <w:r w:rsidRPr="003527EC">
        <w:rPr>
          <w:rFonts w:ascii="Verdana" w:hAnsi="Verdana"/>
          <w:sz w:val="22"/>
          <w:szCs w:val="22"/>
        </w:rPr>
        <w:t>2.0572</w:t>
      </w:r>
      <w:r>
        <w:rPr>
          <w:rFonts w:ascii="Verdana" w:hAnsi="Verdana"/>
          <w:sz w:val="22"/>
          <w:szCs w:val="22"/>
        </w:rPr>
        <w:t xml:space="preserve"> units.</w:t>
      </w:r>
    </w:p>
    <w:p w:rsidR="003527EC" w:rsidRDefault="003527EC" w:rsidP="00FA7447">
      <w:pPr>
        <w:pStyle w:val="NormalWeb"/>
        <w:jc w:val="both"/>
        <w:rPr>
          <w:rFonts w:ascii="Verdana" w:hAnsi="Verdana"/>
          <w:sz w:val="22"/>
          <w:szCs w:val="22"/>
        </w:rPr>
      </w:pPr>
      <w:r>
        <w:rPr>
          <w:rFonts w:ascii="Verdana" w:hAnsi="Verdana"/>
          <w:sz w:val="22"/>
          <w:szCs w:val="22"/>
        </w:rPr>
        <w:t>The significance of the regression coefficient is tested using t test.</w:t>
      </w:r>
    </w:p>
    <w:p w:rsidR="003527EC" w:rsidRPr="003527EC" w:rsidRDefault="003527EC" w:rsidP="00FA7447">
      <w:pPr>
        <w:pStyle w:val="NormalWeb"/>
        <w:jc w:val="both"/>
        <w:rPr>
          <w:rFonts w:ascii="Verdana" w:hAnsi="Verdana"/>
          <w:sz w:val="22"/>
          <w:szCs w:val="22"/>
        </w:rPr>
      </w:pPr>
      <w:r w:rsidRPr="003527EC">
        <w:rPr>
          <w:rFonts w:ascii="Verdana" w:hAnsi="Verdana"/>
          <w:sz w:val="22"/>
          <w:szCs w:val="22"/>
        </w:rPr>
        <w:t>Here the regression coefficient “</w:t>
      </w:r>
      <w:r w:rsidRPr="003527EC">
        <w:rPr>
          <w:rFonts w:ascii="Verdana" w:hAnsi="Verdana" w:cs="Calibri"/>
          <w:sz w:val="22"/>
          <w:szCs w:val="22"/>
        </w:rPr>
        <w:t xml:space="preserve">Student/Faculty Ratio” </w:t>
      </w:r>
      <w:r>
        <w:rPr>
          <w:rFonts w:ascii="Verdana" w:hAnsi="Verdana" w:cs="Calibri"/>
          <w:sz w:val="22"/>
          <w:szCs w:val="22"/>
        </w:rPr>
        <w:t>is highly significant with p-value less than 0.05.</w:t>
      </w:r>
    </w:p>
    <w:tbl>
      <w:tblPr>
        <w:tblW w:w="8939" w:type="dxa"/>
        <w:tblInd w:w="-176" w:type="dxa"/>
        <w:tblLook w:val="04A0"/>
      </w:tblPr>
      <w:tblGrid>
        <w:gridCol w:w="2419"/>
        <w:gridCol w:w="1600"/>
        <w:gridCol w:w="1860"/>
        <w:gridCol w:w="1540"/>
        <w:gridCol w:w="1520"/>
      </w:tblGrid>
      <w:tr w:rsidR="003527EC" w:rsidRPr="003527EC" w:rsidTr="003527EC">
        <w:trPr>
          <w:trHeight w:val="300"/>
        </w:trPr>
        <w:tc>
          <w:tcPr>
            <w:tcW w:w="2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 </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r w:rsidRPr="003527EC">
              <w:rPr>
                <w:rFonts w:ascii="Calibri" w:eastAsia="Times New Roman" w:hAnsi="Calibri" w:cs="Calibri"/>
                <w:b/>
                <w:bCs/>
                <w:lang w:eastAsia="en-IN"/>
              </w:rPr>
              <w:t>Coefficients</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r w:rsidRPr="003527EC">
              <w:rPr>
                <w:rFonts w:ascii="Calibri" w:eastAsia="Times New Roman" w:hAnsi="Calibri" w:cs="Calibri"/>
                <w:b/>
                <w:bCs/>
                <w:lang w:eastAsia="en-IN"/>
              </w:rPr>
              <w:t>Standard Error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r w:rsidRPr="003527EC">
              <w:rPr>
                <w:rFonts w:ascii="Calibri" w:eastAsia="Times New Roman" w:hAnsi="Calibri" w:cs="Calibri"/>
                <w:b/>
                <w:bCs/>
                <w:lang w:eastAsia="en-IN"/>
              </w:rPr>
              <w:t>t Stat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r w:rsidRPr="003527EC">
              <w:rPr>
                <w:rFonts w:ascii="Calibri" w:eastAsia="Times New Roman" w:hAnsi="Calibri" w:cs="Calibri"/>
                <w:b/>
                <w:bCs/>
                <w:lang w:eastAsia="en-IN"/>
              </w:rPr>
              <w:t>P-value</w:t>
            </w:r>
          </w:p>
        </w:tc>
      </w:tr>
      <w:tr w:rsidR="003527EC" w:rsidRPr="003527EC" w:rsidTr="003527EC">
        <w:trPr>
          <w:trHeight w:val="300"/>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Intercept</w:t>
            </w:r>
          </w:p>
        </w:tc>
        <w:tc>
          <w:tcPr>
            <w:tcW w:w="160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53.01382714</w:t>
            </w:r>
          </w:p>
        </w:tc>
        <w:tc>
          <w:tcPr>
            <w:tcW w:w="186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3.421450432</w:t>
            </w:r>
          </w:p>
        </w:tc>
        <w:tc>
          <w:tcPr>
            <w:tcW w:w="154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15.49454776</w:t>
            </w:r>
          </w:p>
        </w:tc>
        <w:tc>
          <w:tcPr>
            <w:tcW w:w="152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7.05881E-20</w:t>
            </w:r>
          </w:p>
        </w:tc>
      </w:tr>
      <w:tr w:rsidR="003527EC" w:rsidRPr="003527EC" w:rsidTr="003527EC">
        <w:trPr>
          <w:trHeight w:val="315"/>
        </w:trPr>
        <w:tc>
          <w:tcPr>
            <w:tcW w:w="2419" w:type="dxa"/>
            <w:tcBorders>
              <w:top w:val="nil"/>
              <w:left w:val="single" w:sz="4" w:space="0" w:color="auto"/>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Student/Faculty Ratio</w:t>
            </w:r>
          </w:p>
        </w:tc>
        <w:tc>
          <w:tcPr>
            <w:tcW w:w="160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-2.057154698</w:t>
            </w:r>
          </w:p>
        </w:tc>
        <w:tc>
          <w:tcPr>
            <w:tcW w:w="186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0.273716035</w:t>
            </w:r>
          </w:p>
        </w:tc>
        <w:tc>
          <w:tcPr>
            <w:tcW w:w="154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-7.515652861</w:t>
            </w:r>
          </w:p>
        </w:tc>
        <w:tc>
          <w:tcPr>
            <w:tcW w:w="152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1.54423E-09</w:t>
            </w:r>
          </w:p>
        </w:tc>
      </w:tr>
    </w:tbl>
    <w:p w:rsidR="003527EC" w:rsidRDefault="003527EC" w:rsidP="00FA7447">
      <w:pPr>
        <w:pStyle w:val="NormalWeb"/>
        <w:jc w:val="both"/>
        <w:rPr>
          <w:rFonts w:ascii="Verdana" w:hAnsi="Verdana"/>
          <w:sz w:val="22"/>
          <w:szCs w:val="22"/>
        </w:rPr>
      </w:pPr>
      <w:r>
        <w:rPr>
          <w:rFonts w:ascii="Verdana" w:hAnsi="Verdana"/>
          <w:sz w:val="22"/>
          <w:szCs w:val="22"/>
        </w:rPr>
        <w:t>The overall significance of the model is tested using F test.</w:t>
      </w:r>
    </w:p>
    <w:p w:rsidR="003527EC" w:rsidRDefault="003527EC" w:rsidP="00FA7447">
      <w:pPr>
        <w:pStyle w:val="NormalWeb"/>
        <w:jc w:val="both"/>
        <w:rPr>
          <w:rFonts w:ascii="Verdana" w:hAnsi="Verdana"/>
          <w:sz w:val="22"/>
          <w:szCs w:val="22"/>
        </w:rPr>
      </w:pPr>
      <w:r>
        <w:rPr>
          <w:rFonts w:ascii="Verdana" w:hAnsi="Verdana"/>
          <w:sz w:val="22"/>
          <w:szCs w:val="22"/>
        </w:rPr>
        <w:t>Here the F statistic is highly significant with p-value less than 0.05. Hence the regression model is significant.</w:t>
      </w:r>
    </w:p>
    <w:tbl>
      <w:tblPr>
        <w:tblW w:w="7938" w:type="dxa"/>
        <w:tblLook w:val="04A0"/>
      </w:tblPr>
      <w:tblGrid>
        <w:gridCol w:w="1383"/>
        <w:gridCol w:w="440"/>
        <w:gridCol w:w="1721"/>
        <w:gridCol w:w="1417"/>
        <w:gridCol w:w="1418"/>
        <w:gridCol w:w="1559"/>
      </w:tblGrid>
      <w:tr w:rsidR="003527EC" w:rsidRPr="003527EC" w:rsidTr="003527EC">
        <w:trPr>
          <w:trHeight w:val="300"/>
        </w:trPr>
        <w:tc>
          <w:tcPr>
            <w:tcW w:w="7938"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r w:rsidRPr="003527EC">
              <w:rPr>
                <w:rFonts w:ascii="Calibri" w:eastAsia="Times New Roman" w:hAnsi="Calibri" w:cs="Calibri"/>
                <w:b/>
                <w:bCs/>
                <w:lang w:eastAsia="en-IN"/>
              </w:rPr>
              <w:t>ANOVA</w:t>
            </w:r>
          </w:p>
        </w:tc>
      </w:tr>
      <w:tr w:rsidR="003527EC" w:rsidRPr="003527EC" w:rsidTr="003527EC">
        <w:trPr>
          <w:trHeight w:val="300"/>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i/>
                <w:iCs/>
                <w:lang w:eastAsia="en-IN"/>
              </w:rPr>
            </w:pPr>
            <w:r w:rsidRPr="003527EC">
              <w:rPr>
                <w:rFonts w:ascii="Calibri" w:eastAsia="Times New Roman" w:hAnsi="Calibri" w:cs="Calibri"/>
                <w:i/>
                <w:iCs/>
                <w:lang w:eastAsia="en-IN"/>
              </w:rPr>
              <w:t> </w:t>
            </w:r>
          </w:p>
        </w:tc>
        <w:tc>
          <w:tcPr>
            <w:tcW w:w="44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proofErr w:type="spellStart"/>
            <w:r w:rsidRPr="003527EC">
              <w:rPr>
                <w:rFonts w:ascii="Calibri" w:eastAsia="Times New Roman" w:hAnsi="Calibri" w:cs="Calibri"/>
                <w:b/>
                <w:bCs/>
                <w:lang w:eastAsia="en-IN"/>
              </w:rPr>
              <w:t>df</w:t>
            </w:r>
            <w:proofErr w:type="spellEnd"/>
          </w:p>
        </w:tc>
        <w:tc>
          <w:tcPr>
            <w:tcW w:w="1721"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r w:rsidRPr="003527EC">
              <w:rPr>
                <w:rFonts w:ascii="Calibri" w:eastAsia="Times New Roman" w:hAnsi="Calibri" w:cs="Calibri"/>
                <w:b/>
                <w:bCs/>
                <w:lang w:eastAsia="en-IN"/>
              </w:rPr>
              <w:t>SS</w:t>
            </w:r>
          </w:p>
        </w:tc>
        <w:tc>
          <w:tcPr>
            <w:tcW w:w="1417"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r w:rsidRPr="003527EC">
              <w:rPr>
                <w:rFonts w:ascii="Calibri" w:eastAsia="Times New Roman" w:hAnsi="Calibri" w:cs="Calibri"/>
                <w:b/>
                <w:bCs/>
                <w:lang w:eastAsia="en-IN"/>
              </w:rPr>
              <w:t>MS</w:t>
            </w:r>
          </w:p>
        </w:tc>
        <w:tc>
          <w:tcPr>
            <w:tcW w:w="1418"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r w:rsidRPr="003527EC">
              <w:rPr>
                <w:rFonts w:ascii="Calibri" w:eastAsia="Times New Roman" w:hAnsi="Calibri" w:cs="Calibri"/>
                <w:b/>
                <w:bCs/>
                <w:lang w:eastAsia="en-IN"/>
              </w:rPr>
              <w:t>F</w:t>
            </w:r>
          </w:p>
        </w:tc>
        <w:tc>
          <w:tcPr>
            <w:tcW w:w="1559"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b/>
                <w:bCs/>
                <w:lang w:eastAsia="en-IN"/>
              </w:rPr>
            </w:pPr>
            <w:r w:rsidRPr="003527EC">
              <w:rPr>
                <w:rFonts w:ascii="Calibri" w:eastAsia="Times New Roman" w:hAnsi="Calibri" w:cs="Calibri"/>
                <w:b/>
                <w:bCs/>
                <w:lang w:eastAsia="en-IN"/>
              </w:rPr>
              <w:t>Significance F</w:t>
            </w:r>
          </w:p>
        </w:tc>
      </w:tr>
      <w:tr w:rsidR="003527EC" w:rsidRPr="003527EC" w:rsidTr="003527EC">
        <w:trPr>
          <w:trHeight w:val="300"/>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Regression</w:t>
            </w:r>
          </w:p>
        </w:tc>
        <w:tc>
          <w:tcPr>
            <w:tcW w:w="44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1</w:t>
            </w:r>
          </w:p>
        </w:tc>
        <w:tc>
          <w:tcPr>
            <w:tcW w:w="1721"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4680.112653</w:t>
            </w:r>
          </w:p>
        </w:tc>
        <w:tc>
          <w:tcPr>
            <w:tcW w:w="1417"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4680.112653</w:t>
            </w:r>
          </w:p>
        </w:tc>
        <w:tc>
          <w:tcPr>
            <w:tcW w:w="1418"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56.48503792</w:t>
            </w:r>
          </w:p>
        </w:tc>
        <w:tc>
          <w:tcPr>
            <w:tcW w:w="1559"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1.54423E-09</w:t>
            </w:r>
          </w:p>
        </w:tc>
      </w:tr>
      <w:tr w:rsidR="003527EC" w:rsidRPr="003527EC" w:rsidTr="003527EC">
        <w:trPr>
          <w:trHeight w:val="300"/>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Residual</w:t>
            </w:r>
          </w:p>
        </w:tc>
        <w:tc>
          <w:tcPr>
            <w:tcW w:w="44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46</w:t>
            </w:r>
          </w:p>
        </w:tc>
        <w:tc>
          <w:tcPr>
            <w:tcW w:w="1721"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3811.366513</w:t>
            </w:r>
          </w:p>
        </w:tc>
        <w:tc>
          <w:tcPr>
            <w:tcW w:w="1417"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82.85579377</w:t>
            </w:r>
          </w:p>
        </w:tc>
        <w:tc>
          <w:tcPr>
            <w:tcW w:w="1418"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 </w:t>
            </w:r>
          </w:p>
        </w:tc>
        <w:tc>
          <w:tcPr>
            <w:tcW w:w="1559"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 </w:t>
            </w:r>
          </w:p>
        </w:tc>
      </w:tr>
      <w:tr w:rsidR="003527EC" w:rsidRPr="003527EC" w:rsidTr="003527EC">
        <w:trPr>
          <w:trHeight w:val="300"/>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Total</w:t>
            </w:r>
          </w:p>
        </w:tc>
        <w:tc>
          <w:tcPr>
            <w:tcW w:w="440"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47</w:t>
            </w:r>
          </w:p>
        </w:tc>
        <w:tc>
          <w:tcPr>
            <w:tcW w:w="1721"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8491.479167</w:t>
            </w:r>
          </w:p>
        </w:tc>
        <w:tc>
          <w:tcPr>
            <w:tcW w:w="1417"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 </w:t>
            </w:r>
          </w:p>
        </w:tc>
        <w:tc>
          <w:tcPr>
            <w:tcW w:w="1559" w:type="dxa"/>
            <w:tcBorders>
              <w:top w:val="nil"/>
              <w:left w:val="nil"/>
              <w:bottom w:val="single" w:sz="4" w:space="0" w:color="auto"/>
              <w:right w:val="single" w:sz="4" w:space="0" w:color="auto"/>
            </w:tcBorders>
            <w:shd w:val="clear" w:color="auto" w:fill="auto"/>
            <w:noWrap/>
            <w:vAlign w:val="bottom"/>
            <w:hideMark/>
          </w:tcPr>
          <w:p w:rsidR="003527EC" w:rsidRPr="003527EC" w:rsidRDefault="003527EC" w:rsidP="003527EC">
            <w:pPr>
              <w:spacing w:after="0" w:line="240" w:lineRule="auto"/>
              <w:jc w:val="center"/>
              <w:rPr>
                <w:rFonts w:ascii="Calibri" w:eastAsia="Times New Roman" w:hAnsi="Calibri" w:cs="Calibri"/>
                <w:lang w:eastAsia="en-IN"/>
              </w:rPr>
            </w:pPr>
            <w:r w:rsidRPr="003527EC">
              <w:rPr>
                <w:rFonts w:ascii="Calibri" w:eastAsia="Times New Roman" w:hAnsi="Calibri" w:cs="Calibri"/>
                <w:lang w:eastAsia="en-IN"/>
              </w:rPr>
              <w:t> </w:t>
            </w:r>
          </w:p>
        </w:tc>
      </w:tr>
    </w:tbl>
    <w:p w:rsidR="003527EC" w:rsidRDefault="003527EC" w:rsidP="00FA7447">
      <w:pPr>
        <w:pStyle w:val="NormalWeb"/>
        <w:jc w:val="both"/>
        <w:rPr>
          <w:rFonts w:ascii="Verdana" w:hAnsi="Verdana"/>
          <w:sz w:val="22"/>
          <w:szCs w:val="22"/>
        </w:rPr>
      </w:pPr>
    </w:p>
    <w:p w:rsidR="008F40A2" w:rsidRDefault="008F40A2" w:rsidP="00FA7447">
      <w:pPr>
        <w:pStyle w:val="NormalWeb"/>
        <w:jc w:val="both"/>
        <w:rPr>
          <w:rFonts w:ascii="Verdana" w:hAnsi="Verdana"/>
          <w:sz w:val="22"/>
          <w:szCs w:val="22"/>
        </w:rPr>
      </w:pPr>
    </w:p>
    <w:p w:rsidR="00FA7447" w:rsidRPr="00FA7447" w:rsidRDefault="00FA7447" w:rsidP="00FA7447">
      <w:pPr>
        <w:pStyle w:val="NormalWeb"/>
        <w:jc w:val="both"/>
        <w:rPr>
          <w:rFonts w:ascii="Verdana" w:hAnsi="Verdana"/>
          <w:sz w:val="22"/>
          <w:szCs w:val="22"/>
        </w:rPr>
      </w:pPr>
      <w:r w:rsidRPr="00FA7447">
        <w:rPr>
          <w:rFonts w:ascii="Verdana" w:hAnsi="Verdana"/>
          <w:sz w:val="22"/>
          <w:szCs w:val="22"/>
        </w:rPr>
        <w:t xml:space="preserve"> </w:t>
      </w:r>
    </w:p>
    <w:p w:rsidR="00C5570C" w:rsidRPr="00FA7447" w:rsidRDefault="00C5570C">
      <w:pPr>
        <w:rPr>
          <w:rFonts w:ascii="Verdana" w:hAnsi="Verdana"/>
        </w:rPr>
      </w:pPr>
    </w:p>
    <w:sectPr w:rsidR="00C5570C" w:rsidRPr="00FA7447" w:rsidSect="00C557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Linotype-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savePreviewPicture/>
  <w:compat/>
  <w:rsids>
    <w:rsidRoot w:val="00FA7447"/>
    <w:rsid w:val="00191D37"/>
    <w:rsid w:val="001A0256"/>
    <w:rsid w:val="001F191A"/>
    <w:rsid w:val="003527EC"/>
    <w:rsid w:val="00465E61"/>
    <w:rsid w:val="005E2AA8"/>
    <w:rsid w:val="00615720"/>
    <w:rsid w:val="007C79A4"/>
    <w:rsid w:val="008F40A2"/>
    <w:rsid w:val="00C5570C"/>
    <w:rsid w:val="00E46318"/>
    <w:rsid w:val="00FA74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y">
    <w:name w:val="grey"/>
    <w:basedOn w:val="Normal"/>
    <w:rsid w:val="00FA74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FA74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A7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47"/>
    <w:rPr>
      <w:rFonts w:ascii="Tahoma" w:hAnsi="Tahoma" w:cs="Tahoma"/>
      <w:sz w:val="16"/>
      <w:szCs w:val="16"/>
    </w:rPr>
  </w:style>
  <w:style w:type="paragraph" w:styleId="ListParagraph">
    <w:name w:val="List Paragraph"/>
    <w:basedOn w:val="Normal"/>
    <w:uiPriority w:val="34"/>
    <w:qFormat/>
    <w:rsid w:val="00E46318"/>
    <w:pPr>
      <w:ind w:left="720"/>
      <w:contextualSpacing/>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268388980">
      <w:bodyDiv w:val="1"/>
      <w:marLeft w:val="0"/>
      <w:marRight w:val="0"/>
      <w:marTop w:val="0"/>
      <w:marBottom w:val="0"/>
      <w:divBdr>
        <w:top w:val="none" w:sz="0" w:space="0" w:color="auto"/>
        <w:left w:val="none" w:sz="0" w:space="0" w:color="auto"/>
        <w:bottom w:val="none" w:sz="0" w:space="0" w:color="auto"/>
        <w:right w:val="none" w:sz="0" w:space="0" w:color="auto"/>
      </w:divBdr>
    </w:div>
    <w:div w:id="848643453">
      <w:bodyDiv w:val="1"/>
      <w:marLeft w:val="0"/>
      <w:marRight w:val="0"/>
      <w:marTop w:val="0"/>
      <w:marBottom w:val="0"/>
      <w:divBdr>
        <w:top w:val="none" w:sz="0" w:space="0" w:color="auto"/>
        <w:left w:val="none" w:sz="0" w:space="0" w:color="auto"/>
        <w:bottom w:val="none" w:sz="0" w:space="0" w:color="auto"/>
        <w:right w:val="none" w:sz="0" w:space="0" w:color="auto"/>
      </w:divBdr>
    </w:div>
    <w:div w:id="1157653126">
      <w:bodyDiv w:val="1"/>
      <w:marLeft w:val="0"/>
      <w:marRight w:val="0"/>
      <w:marTop w:val="0"/>
      <w:marBottom w:val="0"/>
      <w:divBdr>
        <w:top w:val="none" w:sz="0" w:space="0" w:color="auto"/>
        <w:left w:val="none" w:sz="0" w:space="0" w:color="auto"/>
        <w:bottom w:val="none" w:sz="0" w:space="0" w:color="auto"/>
        <w:right w:val="none" w:sz="0" w:space="0" w:color="auto"/>
      </w:divBdr>
    </w:div>
    <w:div w:id="1162891698">
      <w:bodyDiv w:val="1"/>
      <w:marLeft w:val="0"/>
      <w:marRight w:val="0"/>
      <w:marTop w:val="0"/>
      <w:marBottom w:val="0"/>
      <w:divBdr>
        <w:top w:val="none" w:sz="0" w:space="0" w:color="auto"/>
        <w:left w:val="none" w:sz="0" w:space="0" w:color="auto"/>
        <w:bottom w:val="none" w:sz="0" w:space="0" w:color="auto"/>
        <w:right w:val="none" w:sz="0" w:space="0" w:color="auto"/>
      </w:divBdr>
    </w:div>
    <w:div w:id="1271279563">
      <w:bodyDiv w:val="1"/>
      <w:marLeft w:val="0"/>
      <w:marRight w:val="0"/>
      <w:marTop w:val="0"/>
      <w:marBottom w:val="0"/>
      <w:divBdr>
        <w:top w:val="none" w:sz="0" w:space="0" w:color="auto"/>
        <w:left w:val="none" w:sz="0" w:space="0" w:color="auto"/>
        <w:bottom w:val="none" w:sz="0" w:space="0" w:color="auto"/>
        <w:right w:val="none" w:sz="0" w:space="0" w:color="auto"/>
      </w:divBdr>
    </w:div>
    <w:div w:id="1691485597">
      <w:bodyDiv w:val="1"/>
      <w:marLeft w:val="0"/>
      <w:marRight w:val="0"/>
      <w:marTop w:val="0"/>
      <w:marBottom w:val="0"/>
      <w:divBdr>
        <w:top w:val="none" w:sz="0" w:space="0" w:color="auto"/>
        <w:left w:val="none" w:sz="0" w:space="0" w:color="auto"/>
        <w:bottom w:val="none" w:sz="0" w:space="0" w:color="auto"/>
        <w:right w:val="none" w:sz="0" w:space="0" w:color="auto"/>
      </w:divBdr>
    </w:div>
    <w:div w:id="1951088918">
      <w:bodyDiv w:val="1"/>
      <w:marLeft w:val="0"/>
      <w:marRight w:val="0"/>
      <w:marTop w:val="0"/>
      <w:marBottom w:val="0"/>
      <w:divBdr>
        <w:top w:val="none" w:sz="0" w:space="0" w:color="auto"/>
        <w:left w:val="none" w:sz="0" w:space="0" w:color="auto"/>
        <w:bottom w:val="none" w:sz="0" w:space="0" w:color="auto"/>
        <w:right w:val="none" w:sz="0" w:space="0" w:color="auto"/>
      </w:divBdr>
    </w:div>
    <w:div w:id="20106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20.bin"/><Relationship Id="rId3" Type="http://schemas.openxmlformats.org/officeDocument/2006/relationships/webSettings" Target="webSettings.xml"/><Relationship Id="rId21" Type="http://schemas.openxmlformats.org/officeDocument/2006/relationships/image" Target="media/image6.wmf"/><Relationship Id="rId34" Type="http://schemas.openxmlformats.org/officeDocument/2006/relationships/oleObject" Target="embeddings/oleObject15.bin"/><Relationship Id="rId42" Type="http://schemas.openxmlformats.org/officeDocument/2006/relationships/chart" Target="charts/chart11.xml"/><Relationship Id="rId7" Type="http://schemas.openxmlformats.org/officeDocument/2006/relationships/chart" Target="charts/chart4.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4.bin"/><Relationship Id="rId38" Type="http://schemas.openxmlformats.org/officeDocument/2006/relationships/oleObject" Target="embeddings/oleObject19.bin"/><Relationship Id="rId2" Type="http://schemas.openxmlformats.org/officeDocument/2006/relationships/settings" Target="setting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chart" Target="charts/chart8.xml"/><Relationship Id="rId41" Type="http://schemas.openxmlformats.org/officeDocument/2006/relationships/chart" Target="charts/chart10.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3.bin"/><Relationship Id="rId37" Type="http://schemas.openxmlformats.org/officeDocument/2006/relationships/oleObject" Target="embeddings/oleObject18.bin"/><Relationship Id="rId40" Type="http://schemas.openxmlformats.org/officeDocument/2006/relationships/chart" Target="charts/chart9.xml"/><Relationship Id="rId5" Type="http://schemas.openxmlformats.org/officeDocument/2006/relationships/chart" Target="charts/chart2.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10.bin"/><Relationship Id="rId36" Type="http://schemas.openxmlformats.org/officeDocument/2006/relationships/oleObject" Target="embeddings/oleObject17.bin"/><Relationship Id="rId10" Type="http://schemas.openxmlformats.org/officeDocument/2006/relationships/chart" Target="charts/chart7.xml"/><Relationship Id="rId19"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6.bin"/><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AppData\Local\Temp\Alumni.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12"/>
  <c:chart>
    <c:title>
      <c:tx>
        <c:rich>
          <a:bodyPr/>
          <a:lstStyle/>
          <a:p>
            <a:pPr>
              <a:defRPr/>
            </a:pPr>
            <a:r>
              <a:rPr lang="en-IN"/>
              <a:t>Histogram</a:t>
            </a:r>
          </a:p>
        </c:rich>
      </c:tx>
    </c:title>
    <c:plotArea>
      <c:layout/>
      <c:barChart>
        <c:barDir val="col"/>
        <c:grouping val="clustered"/>
        <c:ser>
          <c:idx val="0"/>
          <c:order val="0"/>
          <c:cat>
            <c:numRef>
              <c:f>Output!$B$6:$B$17</c:f>
              <c:numCache>
                <c:formatCode>#,##0\ ;\-#,##0\ </c:formatCode>
                <c:ptCount val="12"/>
                <c:pt idx="0">
                  <c:v>25</c:v>
                </c:pt>
                <c:pt idx="1">
                  <c:v>30</c:v>
                </c:pt>
                <c:pt idx="2">
                  <c:v>35</c:v>
                </c:pt>
                <c:pt idx="3">
                  <c:v>40</c:v>
                </c:pt>
                <c:pt idx="4">
                  <c:v>45</c:v>
                </c:pt>
                <c:pt idx="5">
                  <c:v>50</c:v>
                </c:pt>
                <c:pt idx="6">
                  <c:v>55</c:v>
                </c:pt>
                <c:pt idx="7">
                  <c:v>60</c:v>
                </c:pt>
                <c:pt idx="8">
                  <c:v>65</c:v>
                </c:pt>
                <c:pt idx="9">
                  <c:v>70</c:v>
                </c:pt>
                <c:pt idx="10">
                  <c:v>75</c:v>
                </c:pt>
                <c:pt idx="11" formatCode=";;;">
                  <c:v>79.989999999999995</c:v>
                </c:pt>
              </c:numCache>
            </c:numRef>
          </c:cat>
          <c:val>
            <c:numRef>
              <c:f>Output!$H$6:$H$17</c:f>
              <c:numCache>
                <c:formatCode>0.0\ \ \ </c:formatCode>
                <c:ptCount val="12"/>
                <c:pt idx="0">
                  <c:v>2.0833333333333335</c:v>
                </c:pt>
                <c:pt idx="1">
                  <c:v>6.25</c:v>
                </c:pt>
                <c:pt idx="2">
                  <c:v>8.3333333333333321</c:v>
                </c:pt>
                <c:pt idx="3">
                  <c:v>8.3333333333333321</c:v>
                </c:pt>
                <c:pt idx="4">
                  <c:v>6.25</c:v>
                </c:pt>
                <c:pt idx="5">
                  <c:v>10.416666666666671</c:v>
                </c:pt>
                <c:pt idx="6">
                  <c:v>8.3333333333333321</c:v>
                </c:pt>
                <c:pt idx="7">
                  <c:v>12.5</c:v>
                </c:pt>
                <c:pt idx="8">
                  <c:v>29.166666666666668</c:v>
                </c:pt>
                <c:pt idx="9">
                  <c:v>6.25</c:v>
                </c:pt>
                <c:pt idx="10">
                  <c:v>2.0833333333333335</c:v>
                </c:pt>
              </c:numCache>
            </c:numRef>
          </c:val>
        </c:ser>
        <c:gapWidth val="0"/>
        <c:axId val="137626368"/>
        <c:axId val="137667712"/>
      </c:barChart>
      <c:catAx>
        <c:axId val="137626368"/>
        <c:scaling>
          <c:orientation val="minMax"/>
        </c:scaling>
        <c:axPos val="b"/>
        <c:title>
          <c:tx>
            <c:rich>
              <a:bodyPr/>
              <a:lstStyle/>
              <a:p>
                <a:pPr>
                  <a:defRPr/>
                </a:pPr>
                <a:r>
                  <a:rPr lang="en-IN"/>
                  <a:t>% of Classes Under 20</a:t>
                </a:r>
              </a:p>
            </c:rich>
          </c:tx>
        </c:title>
        <c:numFmt formatCode="#,##0\ ;\-#,##0\ " sourceLinked="0"/>
        <c:majorTickMark val="none"/>
        <c:tickLblPos val="nextTo"/>
        <c:txPr>
          <a:bodyPr rot="-2700000" vert="horz"/>
          <a:lstStyle/>
          <a:p>
            <a:pPr>
              <a:defRPr b="1"/>
            </a:pPr>
            <a:endParaRPr lang="en-US"/>
          </a:p>
        </c:txPr>
        <c:crossAx val="137667712"/>
        <c:crosses val="autoZero"/>
        <c:auto val="1"/>
        <c:lblAlgn val="ctr"/>
        <c:lblOffset val="100"/>
      </c:catAx>
      <c:valAx>
        <c:axId val="137667712"/>
        <c:scaling>
          <c:orientation val="minMax"/>
        </c:scaling>
        <c:axPos val="l"/>
        <c:title>
          <c:tx>
            <c:rich>
              <a:bodyPr/>
              <a:lstStyle/>
              <a:p>
                <a:pPr>
                  <a:defRPr/>
                </a:pPr>
                <a:r>
                  <a:rPr lang="en-IN"/>
                  <a:t>Percent</a:t>
                </a:r>
              </a:p>
            </c:rich>
          </c:tx>
        </c:title>
        <c:numFmt formatCode="0" sourceLinked="0"/>
        <c:tickLblPos val="nextTo"/>
        <c:txPr>
          <a:bodyPr/>
          <a:lstStyle/>
          <a:p>
            <a:pPr>
              <a:defRPr b="1"/>
            </a:pPr>
            <a:endParaRPr lang="en-US"/>
          </a:p>
        </c:txPr>
        <c:crossAx val="137626368"/>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Normal Probability Plot</a:t>
            </a:r>
          </a:p>
        </c:rich>
      </c:tx>
    </c:title>
    <c:plotArea>
      <c:layout/>
      <c:scatterChart>
        <c:scatterStyle val="lineMarker"/>
        <c:ser>
          <c:idx val="0"/>
          <c:order val="0"/>
          <c:spPr>
            <a:ln w="28575">
              <a:noFill/>
            </a:ln>
          </c:spPr>
          <c:xVal>
            <c:numRef>
              <c:f>Sheet3!$K$28:$K$75</c:f>
              <c:numCache>
                <c:formatCode>General</c:formatCode>
                <c:ptCount val="48"/>
                <c:pt idx="0">
                  <c:v>1.0416666666666665</c:v>
                </c:pt>
                <c:pt idx="1">
                  <c:v>3.125</c:v>
                </c:pt>
                <c:pt idx="2">
                  <c:v>5.2083333333333348</c:v>
                </c:pt>
                <c:pt idx="3">
                  <c:v>7.2916666666666679</c:v>
                </c:pt>
                <c:pt idx="4">
                  <c:v>9.3750000000000018</c:v>
                </c:pt>
                <c:pt idx="5">
                  <c:v>11.458333333333334</c:v>
                </c:pt>
                <c:pt idx="6">
                  <c:v>13.541666666666666</c:v>
                </c:pt>
                <c:pt idx="7">
                  <c:v>15.625</c:v>
                </c:pt>
                <c:pt idx="8">
                  <c:v>17.708333333333325</c:v>
                </c:pt>
                <c:pt idx="9">
                  <c:v>19.791666666666668</c:v>
                </c:pt>
                <c:pt idx="10">
                  <c:v>21.875000000000004</c:v>
                </c:pt>
                <c:pt idx="11">
                  <c:v>23.958333333333325</c:v>
                </c:pt>
                <c:pt idx="12">
                  <c:v>26.041666666666668</c:v>
                </c:pt>
                <c:pt idx="13">
                  <c:v>28.125000000000004</c:v>
                </c:pt>
                <c:pt idx="14">
                  <c:v>30.208333333333325</c:v>
                </c:pt>
                <c:pt idx="15">
                  <c:v>32.291666666666657</c:v>
                </c:pt>
                <c:pt idx="16">
                  <c:v>34.375</c:v>
                </c:pt>
                <c:pt idx="17">
                  <c:v>36.458333333333336</c:v>
                </c:pt>
                <c:pt idx="18">
                  <c:v>38.541666666666643</c:v>
                </c:pt>
                <c:pt idx="19">
                  <c:v>40.625000000000007</c:v>
                </c:pt>
                <c:pt idx="20">
                  <c:v>42.708333333333343</c:v>
                </c:pt>
                <c:pt idx="21">
                  <c:v>44.79166666666665</c:v>
                </c:pt>
                <c:pt idx="22">
                  <c:v>46.875</c:v>
                </c:pt>
                <c:pt idx="23">
                  <c:v>48.958333333333336</c:v>
                </c:pt>
                <c:pt idx="24">
                  <c:v>51.041666666666643</c:v>
                </c:pt>
                <c:pt idx="25">
                  <c:v>53.125000000000007</c:v>
                </c:pt>
                <c:pt idx="26">
                  <c:v>55.208333333333343</c:v>
                </c:pt>
                <c:pt idx="27">
                  <c:v>57.291666666666657</c:v>
                </c:pt>
                <c:pt idx="28">
                  <c:v>59.375</c:v>
                </c:pt>
                <c:pt idx="29">
                  <c:v>61.458333333333336</c:v>
                </c:pt>
                <c:pt idx="30">
                  <c:v>63.54166666666665</c:v>
                </c:pt>
                <c:pt idx="31">
                  <c:v>65.625</c:v>
                </c:pt>
                <c:pt idx="32">
                  <c:v>67.708333333333329</c:v>
                </c:pt>
                <c:pt idx="33">
                  <c:v>69.791666666666686</c:v>
                </c:pt>
                <c:pt idx="34">
                  <c:v>71.875</c:v>
                </c:pt>
                <c:pt idx="35">
                  <c:v>73.958333333333329</c:v>
                </c:pt>
                <c:pt idx="36">
                  <c:v>76.041666666666686</c:v>
                </c:pt>
                <c:pt idx="37">
                  <c:v>78.125</c:v>
                </c:pt>
                <c:pt idx="38">
                  <c:v>80.208333333333329</c:v>
                </c:pt>
                <c:pt idx="39">
                  <c:v>82.291666666666686</c:v>
                </c:pt>
                <c:pt idx="40">
                  <c:v>84.375</c:v>
                </c:pt>
                <c:pt idx="41">
                  <c:v>86.458333333333329</c:v>
                </c:pt>
                <c:pt idx="42">
                  <c:v>88.541666666666686</c:v>
                </c:pt>
                <c:pt idx="43">
                  <c:v>90.625</c:v>
                </c:pt>
                <c:pt idx="44">
                  <c:v>92.708333333333329</c:v>
                </c:pt>
                <c:pt idx="45">
                  <c:v>94.791666666666686</c:v>
                </c:pt>
                <c:pt idx="46">
                  <c:v>96.875</c:v>
                </c:pt>
                <c:pt idx="47">
                  <c:v>98.958333333333329</c:v>
                </c:pt>
              </c:numCache>
            </c:numRef>
          </c:xVal>
          <c:yVal>
            <c:numRef>
              <c:f>Sheet3!$L$28:$L$75</c:f>
              <c:numCache>
                <c:formatCode>General</c:formatCode>
                <c:ptCount val="48"/>
                <c:pt idx="0">
                  <c:v>7</c:v>
                </c:pt>
                <c:pt idx="1">
                  <c:v>8</c:v>
                </c:pt>
                <c:pt idx="2">
                  <c:v>9</c:v>
                </c:pt>
                <c:pt idx="3">
                  <c:v>12</c:v>
                </c:pt>
                <c:pt idx="4">
                  <c:v>12</c:v>
                </c:pt>
                <c:pt idx="5">
                  <c:v>13</c:v>
                </c:pt>
                <c:pt idx="6">
                  <c:v>13</c:v>
                </c:pt>
                <c:pt idx="7">
                  <c:v>13</c:v>
                </c:pt>
                <c:pt idx="8">
                  <c:v>13</c:v>
                </c:pt>
                <c:pt idx="9">
                  <c:v>13</c:v>
                </c:pt>
                <c:pt idx="10">
                  <c:v>17</c:v>
                </c:pt>
                <c:pt idx="11">
                  <c:v>18</c:v>
                </c:pt>
                <c:pt idx="12">
                  <c:v>19</c:v>
                </c:pt>
                <c:pt idx="13">
                  <c:v>21</c:v>
                </c:pt>
                <c:pt idx="14">
                  <c:v>22</c:v>
                </c:pt>
                <c:pt idx="15">
                  <c:v>23</c:v>
                </c:pt>
                <c:pt idx="16">
                  <c:v>23</c:v>
                </c:pt>
                <c:pt idx="17">
                  <c:v>25</c:v>
                </c:pt>
                <c:pt idx="18">
                  <c:v>26</c:v>
                </c:pt>
                <c:pt idx="19">
                  <c:v>27</c:v>
                </c:pt>
                <c:pt idx="20">
                  <c:v>27</c:v>
                </c:pt>
                <c:pt idx="21">
                  <c:v>28</c:v>
                </c:pt>
                <c:pt idx="22">
                  <c:v>28</c:v>
                </c:pt>
                <c:pt idx="23">
                  <c:v>29</c:v>
                </c:pt>
                <c:pt idx="24">
                  <c:v>29</c:v>
                </c:pt>
                <c:pt idx="25">
                  <c:v>30</c:v>
                </c:pt>
                <c:pt idx="26">
                  <c:v>31</c:v>
                </c:pt>
                <c:pt idx="27">
                  <c:v>31</c:v>
                </c:pt>
                <c:pt idx="28">
                  <c:v>31</c:v>
                </c:pt>
                <c:pt idx="29">
                  <c:v>33</c:v>
                </c:pt>
                <c:pt idx="30">
                  <c:v>33</c:v>
                </c:pt>
                <c:pt idx="31">
                  <c:v>34</c:v>
                </c:pt>
                <c:pt idx="32">
                  <c:v>35</c:v>
                </c:pt>
                <c:pt idx="33">
                  <c:v>36</c:v>
                </c:pt>
                <c:pt idx="34">
                  <c:v>37</c:v>
                </c:pt>
                <c:pt idx="35">
                  <c:v>38</c:v>
                </c:pt>
                <c:pt idx="36">
                  <c:v>40</c:v>
                </c:pt>
                <c:pt idx="37">
                  <c:v>40</c:v>
                </c:pt>
                <c:pt idx="38">
                  <c:v>40</c:v>
                </c:pt>
                <c:pt idx="39">
                  <c:v>41</c:v>
                </c:pt>
                <c:pt idx="40">
                  <c:v>44</c:v>
                </c:pt>
                <c:pt idx="41">
                  <c:v>45</c:v>
                </c:pt>
                <c:pt idx="42">
                  <c:v>46</c:v>
                </c:pt>
                <c:pt idx="43">
                  <c:v>46</c:v>
                </c:pt>
                <c:pt idx="44">
                  <c:v>49</c:v>
                </c:pt>
                <c:pt idx="45">
                  <c:v>50</c:v>
                </c:pt>
                <c:pt idx="46">
                  <c:v>53</c:v>
                </c:pt>
                <c:pt idx="47">
                  <c:v>67</c:v>
                </c:pt>
              </c:numCache>
            </c:numRef>
          </c:yVal>
        </c:ser>
        <c:axId val="142070912"/>
        <c:axId val="142072832"/>
      </c:scatterChart>
      <c:valAx>
        <c:axId val="142070912"/>
        <c:scaling>
          <c:orientation val="minMax"/>
        </c:scaling>
        <c:axPos val="b"/>
        <c:title>
          <c:tx>
            <c:rich>
              <a:bodyPr/>
              <a:lstStyle/>
              <a:p>
                <a:pPr>
                  <a:defRPr/>
                </a:pPr>
                <a:r>
                  <a:rPr lang="en-IN"/>
                  <a:t>Sample Percentile</a:t>
                </a:r>
              </a:p>
            </c:rich>
          </c:tx>
        </c:title>
        <c:numFmt formatCode="General" sourceLinked="1"/>
        <c:tickLblPos val="nextTo"/>
        <c:crossAx val="142072832"/>
        <c:crosses val="autoZero"/>
        <c:crossBetween val="midCat"/>
      </c:valAx>
      <c:valAx>
        <c:axId val="142072832"/>
        <c:scaling>
          <c:orientation val="minMax"/>
        </c:scaling>
        <c:axPos val="l"/>
        <c:title>
          <c:tx>
            <c:rich>
              <a:bodyPr/>
              <a:lstStyle/>
              <a:p>
                <a:pPr>
                  <a:defRPr/>
                </a:pPr>
                <a:r>
                  <a:rPr lang="en-IN"/>
                  <a:t>Alumni Giving Rate</a:t>
                </a:r>
              </a:p>
            </c:rich>
          </c:tx>
        </c:title>
        <c:numFmt formatCode="General" sourceLinked="1"/>
        <c:tickLblPos val="nextTo"/>
        <c:crossAx val="142070912"/>
        <c:crosses val="autoZero"/>
        <c:crossBetween val="midCat"/>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Student/Faculty Ratio  Residual Plot</a:t>
            </a:r>
          </a:p>
        </c:rich>
      </c:tx>
    </c:title>
    <c:plotArea>
      <c:layout/>
      <c:scatterChart>
        <c:scatterStyle val="lineMarker"/>
        <c:ser>
          <c:idx val="0"/>
          <c:order val="0"/>
          <c:spPr>
            <a:ln w="28575">
              <a:noFill/>
            </a:ln>
          </c:spPr>
          <c:xVal>
            <c:numRef>
              <c:f>Sheet3!$A$2:$A$49</c:f>
              <c:numCache>
                <c:formatCode>General</c:formatCode>
                <c:ptCount val="48"/>
                <c:pt idx="0">
                  <c:v>13</c:v>
                </c:pt>
                <c:pt idx="1">
                  <c:v>8</c:v>
                </c:pt>
                <c:pt idx="2">
                  <c:v>8</c:v>
                </c:pt>
                <c:pt idx="3">
                  <c:v>3</c:v>
                </c:pt>
                <c:pt idx="4">
                  <c:v>10</c:v>
                </c:pt>
                <c:pt idx="5">
                  <c:v>8</c:v>
                </c:pt>
                <c:pt idx="6">
                  <c:v>12</c:v>
                </c:pt>
                <c:pt idx="7">
                  <c:v>7</c:v>
                </c:pt>
                <c:pt idx="8">
                  <c:v>13</c:v>
                </c:pt>
                <c:pt idx="9">
                  <c:v>10</c:v>
                </c:pt>
                <c:pt idx="10">
                  <c:v>8</c:v>
                </c:pt>
                <c:pt idx="11">
                  <c:v>7</c:v>
                </c:pt>
                <c:pt idx="12">
                  <c:v>10</c:v>
                </c:pt>
                <c:pt idx="13">
                  <c:v>8</c:v>
                </c:pt>
                <c:pt idx="14">
                  <c:v>9</c:v>
                </c:pt>
                <c:pt idx="15">
                  <c:v>11</c:v>
                </c:pt>
                <c:pt idx="16">
                  <c:v>6</c:v>
                </c:pt>
                <c:pt idx="17">
                  <c:v>13</c:v>
                </c:pt>
                <c:pt idx="18">
                  <c:v>8</c:v>
                </c:pt>
                <c:pt idx="19">
                  <c:v>19</c:v>
                </c:pt>
                <c:pt idx="20">
                  <c:v>5</c:v>
                </c:pt>
                <c:pt idx="21">
                  <c:v>8</c:v>
                </c:pt>
                <c:pt idx="22">
                  <c:v>7</c:v>
                </c:pt>
                <c:pt idx="23">
                  <c:v>9</c:v>
                </c:pt>
                <c:pt idx="24">
                  <c:v>12</c:v>
                </c:pt>
                <c:pt idx="25">
                  <c:v>17</c:v>
                </c:pt>
                <c:pt idx="26">
                  <c:v>19</c:v>
                </c:pt>
                <c:pt idx="27">
                  <c:v>20</c:v>
                </c:pt>
                <c:pt idx="28">
                  <c:v>18</c:v>
                </c:pt>
                <c:pt idx="29">
                  <c:v>19</c:v>
                </c:pt>
                <c:pt idx="30">
                  <c:v>20</c:v>
                </c:pt>
                <c:pt idx="31">
                  <c:v>4</c:v>
                </c:pt>
                <c:pt idx="32">
                  <c:v>23</c:v>
                </c:pt>
                <c:pt idx="33">
                  <c:v>15</c:v>
                </c:pt>
                <c:pt idx="34">
                  <c:v>15</c:v>
                </c:pt>
                <c:pt idx="35">
                  <c:v>16</c:v>
                </c:pt>
                <c:pt idx="36">
                  <c:v>13</c:v>
                </c:pt>
                <c:pt idx="37">
                  <c:v>7</c:v>
                </c:pt>
                <c:pt idx="38">
                  <c:v>10</c:v>
                </c:pt>
                <c:pt idx="39">
                  <c:v>13</c:v>
                </c:pt>
                <c:pt idx="40">
                  <c:v>21</c:v>
                </c:pt>
                <c:pt idx="41">
                  <c:v>13</c:v>
                </c:pt>
                <c:pt idx="42">
                  <c:v>12</c:v>
                </c:pt>
                <c:pt idx="43">
                  <c:v>13</c:v>
                </c:pt>
                <c:pt idx="44">
                  <c:v>9</c:v>
                </c:pt>
                <c:pt idx="45">
                  <c:v>11</c:v>
                </c:pt>
                <c:pt idx="46">
                  <c:v>7</c:v>
                </c:pt>
                <c:pt idx="47">
                  <c:v>7</c:v>
                </c:pt>
              </c:numCache>
            </c:numRef>
          </c:xVal>
          <c:yVal>
            <c:numRef>
              <c:f>Sheet3!$I$28:$I$75</c:f>
              <c:numCache>
                <c:formatCode>General</c:formatCode>
                <c:ptCount val="48"/>
                <c:pt idx="0">
                  <c:v>-1.2708160651043556</c:v>
                </c:pt>
                <c:pt idx="1">
                  <c:v>-3.5565895561751191</c:v>
                </c:pt>
                <c:pt idx="2">
                  <c:v>3.4434104438248805</c:v>
                </c:pt>
                <c:pt idx="3">
                  <c:v>-0.84236304724588262</c:v>
                </c:pt>
                <c:pt idx="4">
                  <c:v>-4.4422801597468151</c:v>
                </c:pt>
                <c:pt idx="5">
                  <c:v>-5.5565895561751173</c:v>
                </c:pt>
                <c:pt idx="6">
                  <c:v>-1.3279707633185078</c:v>
                </c:pt>
                <c:pt idx="7">
                  <c:v>-7.6137442543892746</c:v>
                </c:pt>
                <c:pt idx="8">
                  <c:v>8.7291839348956444</c:v>
                </c:pt>
                <c:pt idx="9">
                  <c:v>20.557719840253181</c:v>
                </c:pt>
                <c:pt idx="10">
                  <c:v>8.4434104438248809</c:v>
                </c:pt>
                <c:pt idx="11">
                  <c:v>-1.6137442543892744</c:v>
                </c:pt>
                <c:pt idx="12">
                  <c:v>-3.4422801597468147</c:v>
                </c:pt>
                <c:pt idx="13">
                  <c:v>9.4434104438248809</c:v>
                </c:pt>
                <c:pt idx="14">
                  <c:v>-7.4994348579609627</c:v>
                </c:pt>
                <c:pt idx="15">
                  <c:v>9.6148745384673422</c:v>
                </c:pt>
                <c:pt idx="16">
                  <c:v>3.3291010473965779</c:v>
                </c:pt>
                <c:pt idx="17">
                  <c:v>-13.270816065104356</c:v>
                </c:pt>
                <c:pt idx="18">
                  <c:v>-6.5565895561751173</c:v>
                </c:pt>
                <c:pt idx="19">
                  <c:v>7.0721121241805633</c:v>
                </c:pt>
                <c:pt idx="20">
                  <c:v>24.271946349182421</c:v>
                </c:pt>
                <c:pt idx="21">
                  <c:v>3.4434104438248805</c:v>
                </c:pt>
                <c:pt idx="22">
                  <c:v>-4.6137442543892746</c:v>
                </c:pt>
                <c:pt idx="23">
                  <c:v>-5.4994348579609627</c:v>
                </c:pt>
                <c:pt idx="24">
                  <c:v>-11.327970763318506</c:v>
                </c:pt>
                <c:pt idx="25">
                  <c:v>-4.2197272247740628E-2</c:v>
                </c:pt>
                <c:pt idx="26">
                  <c:v>-6.9278878758194358</c:v>
                </c:pt>
                <c:pt idx="27">
                  <c:v>-2.8707331776052878</c:v>
                </c:pt>
                <c:pt idx="28">
                  <c:v>-2.9850425740335917</c:v>
                </c:pt>
                <c:pt idx="29">
                  <c:v>-5.9278878758194358</c:v>
                </c:pt>
                <c:pt idx="30">
                  <c:v>0.12926682239471177</c:v>
                </c:pt>
                <c:pt idx="31">
                  <c:v>-8.7852083490317323</c:v>
                </c:pt>
                <c:pt idx="32">
                  <c:v>13.300730917037173</c:v>
                </c:pt>
                <c:pt idx="33">
                  <c:v>0.84349333132395188</c:v>
                </c:pt>
                <c:pt idx="34">
                  <c:v>-9.1565066686760517</c:v>
                </c:pt>
                <c:pt idx="35">
                  <c:v>5.9006480295381047</c:v>
                </c:pt>
                <c:pt idx="36">
                  <c:v>22.729183934895641</c:v>
                </c:pt>
                <c:pt idx="37">
                  <c:v>2.386255745610725</c:v>
                </c:pt>
                <c:pt idx="38">
                  <c:v>-9.4422801597468169</c:v>
                </c:pt>
                <c:pt idx="39">
                  <c:v>-4.2708160651043565</c:v>
                </c:pt>
                <c:pt idx="40">
                  <c:v>3.1864215206088673</c:v>
                </c:pt>
                <c:pt idx="41">
                  <c:v>1.7291839348956446</c:v>
                </c:pt>
                <c:pt idx="42">
                  <c:v>-16.327970763318515</c:v>
                </c:pt>
                <c:pt idx="43">
                  <c:v>-13.270816065104356</c:v>
                </c:pt>
                <c:pt idx="44">
                  <c:v>-3.499434857960964</c:v>
                </c:pt>
                <c:pt idx="45">
                  <c:v>7.6148745384673378</c:v>
                </c:pt>
                <c:pt idx="46">
                  <c:v>-5.6137442543892746</c:v>
                </c:pt>
                <c:pt idx="47">
                  <c:v>11.386255745610724</c:v>
                </c:pt>
              </c:numCache>
            </c:numRef>
          </c:yVal>
        </c:ser>
        <c:axId val="143790848"/>
        <c:axId val="143792768"/>
      </c:scatterChart>
      <c:valAx>
        <c:axId val="143790848"/>
        <c:scaling>
          <c:orientation val="minMax"/>
        </c:scaling>
        <c:axPos val="b"/>
        <c:title>
          <c:tx>
            <c:rich>
              <a:bodyPr/>
              <a:lstStyle/>
              <a:p>
                <a:pPr>
                  <a:defRPr/>
                </a:pPr>
                <a:r>
                  <a:rPr lang="en-IN"/>
                  <a:t>Student/Faculty Ratio</a:t>
                </a:r>
              </a:p>
            </c:rich>
          </c:tx>
        </c:title>
        <c:numFmt formatCode="General" sourceLinked="1"/>
        <c:tickLblPos val="nextTo"/>
        <c:txPr>
          <a:bodyPr/>
          <a:lstStyle/>
          <a:p>
            <a:pPr>
              <a:defRPr b="1"/>
            </a:pPr>
            <a:endParaRPr lang="en-US"/>
          </a:p>
        </c:txPr>
        <c:crossAx val="143792768"/>
        <c:crosses val="autoZero"/>
        <c:crossBetween val="midCat"/>
      </c:valAx>
      <c:valAx>
        <c:axId val="143792768"/>
        <c:scaling>
          <c:orientation val="minMax"/>
        </c:scaling>
        <c:axPos val="l"/>
        <c:title>
          <c:tx>
            <c:rich>
              <a:bodyPr/>
              <a:lstStyle/>
              <a:p>
                <a:pPr>
                  <a:defRPr/>
                </a:pPr>
                <a:r>
                  <a:rPr lang="en-IN"/>
                  <a:t>Residuals</a:t>
                </a:r>
              </a:p>
            </c:rich>
          </c:tx>
        </c:title>
        <c:numFmt formatCode="General" sourceLinked="1"/>
        <c:tickLblPos val="nextTo"/>
        <c:txPr>
          <a:bodyPr/>
          <a:lstStyle/>
          <a:p>
            <a:pPr>
              <a:defRPr b="1"/>
            </a:pPr>
            <a:endParaRPr lang="en-US"/>
          </a:p>
        </c:txPr>
        <c:crossAx val="14379084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sz="1000" b="1" i="0">
                <a:latin typeface="Arial"/>
                <a:ea typeface="Arial"/>
                <a:cs typeface="Arial"/>
              </a:defRPr>
            </a:pPr>
            <a:r>
              <a:rPr lang="en-IN" b="1"/>
              <a:t>BoxPlot</a:t>
            </a:r>
          </a:p>
        </c:rich>
      </c:tx>
    </c:title>
    <c:plotArea>
      <c:layout/>
      <c:scatterChart>
        <c:scatterStyle val="lineMarker"/>
        <c:ser>
          <c:idx val="0"/>
          <c:order val="0"/>
          <c:spPr>
            <a:ln w="12700">
              <a:solidFill>
                <a:srgbClr val="000000"/>
              </a:solidFill>
              <a:prstDash val="solid"/>
            </a:ln>
          </c:spPr>
          <c:marker>
            <c:symbol val="none"/>
          </c:marker>
          <c:xVal>
            <c:numRef>
              <c:f>ChartDataSheet_!$B$4:$B$16</c:f>
              <c:numCache>
                <c:formatCode>General</c:formatCode>
                <c:ptCount val="13"/>
                <c:pt idx="0">
                  <c:v>29</c:v>
                </c:pt>
                <c:pt idx="1">
                  <c:v>44.75</c:v>
                </c:pt>
                <c:pt idx="2">
                  <c:v>44.75</c:v>
                </c:pt>
                <c:pt idx="3">
                  <c:v>59.5</c:v>
                </c:pt>
                <c:pt idx="4">
                  <c:v>59.5</c:v>
                </c:pt>
                <c:pt idx="5">
                  <c:v>59.5</c:v>
                </c:pt>
                <c:pt idx="6">
                  <c:v>66.25</c:v>
                </c:pt>
                <c:pt idx="7">
                  <c:v>66.25</c:v>
                </c:pt>
                <c:pt idx="8">
                  <c:v>77</c:v>
                </c:pt>
                <c:pt idx="9">
                  <c:v>66.25</c:v>
                </c:pt>
                <c:pt idx="10">
                  <c:v>66.25</c:v>
                </c:pt>
                <c:pt idx="11">
                  <c:v>44.75</c:v>
                </c:pt>
                <c:pt idx="12">
                  <c:v>44.75</c:v>
                </c:pt>
              </c:numCache>
            </c:numRef>
          </c:xVal>
          <c:yVal>
            <c:numRef>
              <c:f>ChartDataSheet_!$A$4:$A$16</c:f>
              <c:numCache>
                <c:formatCode>General</c:formatCode>
                <c:ptCount val="13"/>
                <c:pt idx="0">
                  <c:v>2</c:v>
                </c:pt>
                <c:pt idx="1">
                  <c:v>2</c:v>
                </c:pt>
                <c:pt idx="2">
                  <c:v>3</c:v>
                </c:pt>
                <c:pt idx="3">
                  <c:v>3</c:v>
                </c:pt>
                <c:pt idx="4">
                  <c:v>1</c:v>
                </c:pt>
                <c:pt idx="5">
                  <c:v>3</c:v>
                </c:pt>
                <c:pt idx="6">
                  <c:v>3</c:v>
                </c:pt>
                <c:pt idx="7">
                  <c:v>2</c:v>
                </c:pt>
                <c:pt idx="8">
                  <c:v>2</c:v>
                </c:pt>
                <c:pt idx="9">
                  <c:v>2</c:v>
                </c:pt>
                <c:pt idx="10">
                  <c:v>1</c:v>
                </c:pt>
                <c:pt idx="11">
                  <c:v>1</c:v>
                </c:pt>
                <c:pt idx="12">
                  <c:v>2</c:v>
                </c:pt>
              </c:numCache>
            </c:numRef>
          </c:yVal>
        </c:ser>
        <c:axId val="143782272"/>
        <c:axId val="143795328"/>
      </c:scatterChart>
      <c:valAx>
        <c:axId val="143782272"/>
        <c:scaling>
          <c:orientation val="minMax"/>
          <c:min val="20"/>
        </c:scaling>
        <c:axPos val="b"/>
        <c:title>
          <c:tx>
            <c:rich>
              <a:bodyPr/>
              <a:lstStyle/>
              <a:p>
                <a:pPr>
                  <a:defRPr sz="1000" b="1" i="0">
                    <a:latin typeface="Arial"/>
                    <a:ea typeface="Arial"/>
                    <a:cs typeface="Arial"/>
                  </a:defRPr>
                </a:pPr>
                <a:r>
                  <a:rPr lang="en-IN" b="1"/>
                  <a:t>% of Classes Under 20 </a:t>
                </a:r>
              </a:p>
            </c:rich>
          </c:tx>
        </c:title>
        <c:numFmt formatCode="General" sourceLinked="1"/>
        <c:minorTickMark val="out"/>
        <c:tickLblPos val="nextTo"/>
        <c:txPr>
          <a:bodyPr/>
          <a:lstStyle/>
          <a:p>
            <a:pPr>
              <a:defRPr sz="1000" b="1" i="0">
                <a:latin typeface="Arial"/>
                <a:ea typeface="Arial"/>
                <a:cs typeface="Arial"/>
              </a:defRPr>
            </a:pPr>
            <a:endParaRPr lang="en-US"/>
          </a:p>
        </c:txPr>
        <c:crossAx val="143795328"/>
        <c:crosses val="autoZero"/>
        <c:crossBetween val="midCat"/>
      </c:valAx>
      <c:valAx>
        <c:axId val="143795328"/>
        <c:scaling>
          <c:orientation val="minMax"/>
        </c:scaling>
        <c:delete val="1"/>
        <c:axPos val="l"/>
        <c:numFmt formatCode="General" sourceLinked="1"/>
        <c:tickLblPos val="none"/>
        <c:crossAx val="143782272"/>
        <c:crossesAt val="-4114"/>
        <c:crossBetween val="midCat"/>
      </c:valAx>
      <c:spPr>
        <a:noFill/>
        <a:ln w="25400">
          <a:noFill/>
        </a:ln>
      </c:spPr>
    </c:plotArea>
    <c:plotVisOnly val="1"/>
  </c:chart>
  <c:txPr>
    <a:bodyPr/>
    <a:lstStyle/>
    <a:p>
      <a:pPr>
        <a:defRPr sz="1000" b="0" i="0">
          <a:latin typeface="Arial"/>
          <a:ea typeface="Arial"/>
          <a:cs typeface="Arial"/>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style val="13"/>
  <c:chart>
    <c:title>
      <c:tx>
        <c:rich>
          <a:bodyPr/>
          <a:lstStyle/>
          <a:p>
            <a:pPr>
              <a:defRPr/>
            </a:pPr>
            <a:r>
              <a:rPr lang="en-IN"/>
              <a:t>Histogram</a:t>
            </a:r>
          </a:p>
        </c:rich>
      </c:tx>
    </c:title>
    <c:plotArea>
      <c:layout/>
      <c:barChart>
        <c:barDir val="col"/>
        <c:grouping val="clustered"/>
        <c:ser>
          <c:idx val="0"/>
          <c:order val="0"/>
          <c:cat>
            <c:numRef>
              <c:f>Output!$B$46:$B$57</c:f>
              <c:numCache>
                <c:formatCode>#,##0\ ;\-#,##0\ </c:formatCode>
                <c:ptCount val="12"/>
                <c:pt idx="0">
                  <c:v>2</c:v>
                </c:pt>
                <c:pt idx="1">
                  <c:v>4</c:v>
                </c:pt>
                <c:pt idx="2">
                  <c:v>6</c:v>
                </c:pt>
                <c:pt idx="3">
                  <c:v>8</c:v>
                </c:pt>
                <c:pt idx="4">
                  <c:v>10</c:v>
                </c:pt>
                <c:pt idx="5">
                  <c:v>12</c:v>
                </c:pt>
                <c:pt idx="6">
                  <c:v>14</c:v>
                </c:pt>
                <c:pt idx="7">
                  <c:v>16</c:v>
                </c:pt>
                <c:pt idx="8">
                  <c:v>18</c:v>
                </c:pt>
                <c:pt idx="9">
                  <c:v>20</c:v>
                </c:pt>
                <c:pt idx="10">
                  <c:v>22</c:v>
                </c:pt>
                <c:pt idx="11" formatCode=";;;">
                  <c:v>23.990000000000002</c:v>
                </c:pt>
              </c:numCache>
            </c:numRef>
          </c:cat>
          <c:val>
            <c:numRef>
              <c:f>Output!$H$46:$H$57</c:f>
              <c:numCache>
                <c:formatCode>0.0\ \ \ </c:formatCode>
                <c:ptCount val="12"/>
                <c:pt idx="0">
                  <c:v>2.0833333333333335</c:v>
                </c:pt>
                <c:pt idx="1">
                  <c:v>4.1666666666666661</c:v>
                </c:pt>
                <c:pt idx="2">
                  <c:v>14.583333333333334</c:v>
                </c:pt>
                <c:pt idx="3">
                  <c:v>20.833333333333329</c:v>
                </c:pt>
                <c:pt idx="4">
                  <c:v>12.5</c:v>
                </c:pt>
                <c:pt idx="5">
                  <c:v>20.833333333333329</c:v>
                </c:pt>
                <c:pt idx="6">
                  <c:v>4.1666666666666661</c:v>
                </c:pt>
                <c:pt idx="7">
                  <c:v>4.1666666666666661</c:v>
                </c:pt>
                <c:pt idx="8">
                  <c:v>8.3333333333333321</c:v>
                </c:pt>
                <c:pt idx="9">
                  <c:v>6.25</c:v>
                </c:pt>
                <c:pt idx="10">
                  <c:v>2.0833333333333335</c:v>
                </c:pt>
              </c:numCache>
            </c:numRef>
          </c:val>
        </c:ser>
        <c:gapWidth val="0"/>
        <c:axId val="147702528"/>
        <c:axId val="147704832"/>
      </c:barChart>
      <c:catAx>
        <c:axId val="147702528"/>
        <c:scaling>
          <c:orientation val="minMax"/>
        </c:scaling>
        <c:axPos val="b"/>
        <c:title>
          <c:tx>
            <c:rich>
              <a:bodyPr/>
              <a:lstStyle/>
              <a:p>
                <a:pPr>
                  <a:defRPr/>
                </a:pPr>
                <a:r>
                  <a:rPr lang="en-IN"/>
                  <a:t>Student/Faculty Ratio</a:t>
                </a:r>
              </a:p>
            </c:rich>
          </c:tx>
        </c:title>
        <c:numFmt formatCode="#,##0\ ;\-#,##0\ " sourceLinked="0"/>
        <c:majorTickMark val="none"/>
        <c:tickLblPos val="nextTo"/>
        <c:txPr>
          <a:bodyPr rot="-2700000" vert="horz"/>
          <a:lstStyle/>
          <a:p>
            <a:pPr>
              <a:defRPr b="1"/>
            </a:pPr>
            <a:endParaRPr lang="en-US"/>
          </a:p>
        </c:txPr>
        <c:crossAx val="147704832"/>
        <c:crosses val="autoZero"/>
        <c:auto val="1"/>
        <c:lblAlgn val="ctr"/>
        <c:lblOffset val="100"/>
      </c:catAx>
      <c:valAx>
        <c:axId val="147704832"/>
        <c:scaling>
          <c:orientation val="minMax"/>
        </c:scaling>
        <c:axPos val="l"/>
        <c:title>
          <c:tx>
            <c:rich>
              <a:bodyPr/>
              <a:lstStyle/>
              <a:p>
                <a:pPr>
                  <a:defRPr/>
                </a:pPr>
                <a:r>
                  <a:rPr lang="en-IN"/>
                  <a:t>Percent</a:t>
                </a:r>
              </a:p>
            </c:rich>
          </c:tx>
        </c:title>
        <c:numFmt formatCode="0" sourceLinked="0"/>
        <c:tickLblPos val="nextTo"/>
        <c:txPr>
          <a:bodyPr/>
          <a:lstStyle/>
          <a:p>
            <a:pPr>
              <a:defRPr b="1"/>
            </a:pPr>
            <a:endParaRPr lang="en-US"/>
          </a:p>
        </c:txPr>
        <c:crossAx val="14770252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sz="1000" b="1" i="0">
                <a:latin typeface="Arial"/>
                <a:ea typeface="Arial"/>
                <a:cs typeface="Arial"/>
              </a:defRPr>
            </a:pPr>
            <a:r>
              <a:rPr lang="en-IN" b="1"/>
              <a:t>BoxPlot</a:t>
            </a:r>
          </a:p>
        </c:rich>
      </c:tx>
    </c:title>
    <c:plotArea>
      <c:layout/>
      <c:scatterChart>
        <c:scatterStyle val="lineMarker"/>
        <c:ser>
          <c:idx val="0"/>
          <c:order val="0"/>
          <c:spPr>
            <a:ln w="12700">
              <a:solidFill>
                <a:srgbClr val="000000"/>
              </a:solidFill>
              <a:prstDash val="solid"/>
            </a:ln>
          </c:spPr>
          <c:marker>
            <c:symbol val="none"/>
          </c:marker>
          <c:xVal>
            <c:numRef>
              <c:f>ChartDataSheet_!$C$4:$C$16</c:f>
              <c:numCache>
                <c:formatCode>General</c:formatCode>
                <c:ptCount val="13"/>
                <c:pt idx="0">
                  <c:v>3</c:v>
                </c:pt>
                <c:pt idx="1">
                  <c:v>8</c:v>
                </c:pt>
                <c:pt idx="2">
                  <c:v>8</c:v>
                </c:pt>
                <c:pt idx="3">
                  <c:v>10.5</c:v>
                </c:pt>
                <c:pt idx="4">
                  <c:v>10.5</c:v>
                </c:pt>
                <c:pt idx="5">
                  <c:v>10.5</c:v>
                </c:pt>
                <c:pt idx="6">
                  <c:v>13.5</c:v>
                </c:pt>
                <c:pt idx="7">
                  <c:v>13.5</c:v>
                </c:pt>
                <c:pt idx="8">
                  <c:v>21</c:v>
                </c:pt>
                <c:pt idx="9">
                  <c:v>13.5</c:v>
                </c:pt>
                <c:pt idx="10">
                  <c:v>13.5</c:v>
                </c:pt>
                <c:pt idx="11">
                  <c:v>8</c:v>
                </c:pt>
                <c:pt idx="12">
                  <c:v>8</c:v>
                </c:pt>
              </c:numCache>
            </c:numRef>
          </c:xVal>
          <c:yVal>
            <c:numRef>
              <c:f>ChartDataSheet_!$A$4:$A$16</c:f>
              <c:numCache>
                <c:formatCode>General</c:formatCode>
                <c:ptCount val="13"/>
                <c:pt idx="0">
                  <c:v>2</c:v>
                </c:pt>
                <c:pt idx="1">
                  <c:v>2</c:v>
                </c:pt>
                <c:pt idx="2">
                  <c:v>3</c:v>
                </c:pt>
                <c:pt idx="3">
                  <c:v>3</c:v>
                </c:pt>
                <c:pt idx="4">
                  <c:v>1</c:v>
                </c:pt>
                <c:pt idx="5">
                  <c:v>3</c:v>
                </c:pt>
                <c:pt idx="6">
                  <c:v>3</c:v>
                </c:pt>
                <c:pt idx="7">
                  <c:v>2</c:v>
                </c:pt>
                <c:pt idx="8">
                  <c:v>2</c:v>
                </c:pt>
                <c:pt idx="9">
                  <c:v>2</c:v>
                </c:pt>
                <c:pt idx="10">
                  <c:v>1</c:v>
                </c:pt>
                <c:pt idx="11">
                  <c:v>1</c:v>
                </c:pt>
                <c:pt idx="12">
                  <c:v>2</c:v>
                </c:pt>
              </c:numCache>
            </c:numRef>
          </c:yVal>
        </c:ser>
        <c:ser>
          <c:idx val="1"/>
          <c:order val="1"/>
          <c:spPr>
            <a:ln w="12700">
              <a:solidFill>
                <a:srgbClr val="000000"/>
              </a:solidFill>
              <a:prstDash val="sysDash"/>
            </a:ln>
          </c:spPr>
          <c:marker>
            <c:symbol val="none"/>
          </c:marker>
          <c:xVal>
            <c:numRef>
              <c:f>ChartDataSheet_!$C$21:$C$22</c:f>
              <c:numCache>
                <c:formatCode>General</c:formatCode>
                <c:ptCount val="2"/>
                <c:pt idx="0">
                  <c:v>21.75</c:v>
                </c:pt>
                <c:pt idx="1">
                  <c:v>21.75</c:v>
                </c:pt>
              </c:numCache>
            </c:numRef>
          </c:xVal>
          <c:yVal>
            <c:numRef>
              <c:f>ChartDataSheet_!$A$21:$A$22</c:f>
              <c:numCache>
                <c:formatCode>General</c:formatCode>
                <c:ptCount val="2"/>
                <c:pt idx="0">
                  <c:v>1</c:v>
                </c:pt>
                <c:pt idx="1">
                  <c:v>3</c:v>
                </c:pt>
              </c:numCache>
            </c:numRef>
          </c:yVal>
        </c:ser>
        <c:ser>
          <c:idx val="2"/>
          <c:order val="2"/>
          <c:spPr>
            <a:ln w="12700">
              <a:solidFill>
                <a:srgbClr val="000000"/>
              </a:solidFill>
              <a:prstDash val="sysDash"/>
            </a:ln>
          </c:spPr>
          <c:marker>
            <c:symbol val="none"/>
          </c:marker>
          <c:xVal>
            <c:numRef>
              <c:f>ChartDataSheet_!$C$23:$C$24</c:f>
              <c:numCache>
                <c:formatCode>General</c:formatCode>
                <c:ptCount val="2"/>
                <c:pt idx="0">
                  <c:v>30</c:v>
                </c:pt>
                <c:pt idx="1">
                  <c:v>30</c:v>
                </c:pt>
              </c:numCache>
            </c:numRef>
          </c:xVal>
          <c:yVal>
            <c:numRef>
              <c:f>ChartDataSheet_!$A$23:$A$24</c:f>
              <c:numCache>
                <c:formatCode>General</c:formatCode>
                <c:ptCount val="2"/>
                <c:pt idx="0">
                  <c:v>1</c:v>
                </c:pt>
                <c:pt idx="1">
                  <c:v>3</c:v>
                </c:pt>
              </c:numCache>
            </c:numRef>
          </c:yVal>
        </c:ser>
        <c:ser>
          <c:idx val="3"/>
          <c:order val="3"/>
          <c:spPr>
            <a:ln w="28575">
              <a:noFill/>
            </a:ln>
            <a:effectLst/>
          </c:spPr>
          <c:marker>
            <c:symbol val="circle"/>
            <c:size val="4"/>
            <c:spPr>
              <a:noFill/>
              <a:ln>
                <a:solidFill>
                  <a:srgbClr val="000000"/>
                </a:solidFill>
                <a:prstDash val="solid"/>
              </a:ln>
            </c:spPr>
          </c:marker>
          <c:xVal>
            <c:numRef>
              <c:f>ChartDataSheet_!$C$25</c:f>
              <c:numCache>
                <c:formatCode>General</c:formatCode>
                <c:ptCount val="1"/>
                <c:pt idx="0">
                  <c:v>23</c:v>
                </c:pt>
              </c:numCache>
            </c:numRef>
          </c:xVal>
          <c:yVal>
            <c:numRef>
              <c:f>ChartDataSheet_!$A$25</c:f>
              <c:numCache>
                <c:formatCode>General</c:formatCode>
                <c:ptCount val="1"/>
                <c:pt idx="0">
                  <c:v>1.8</c:v>
                </c:pt>
              </c:numCache>
            </c:numRef>
          </c:yVal>
        </c:ser>
        <c:axId val="167050624"/>
        <c:axId val="172390272"/>
      </c:scatterChart>
      <c:valAx>
        <c:axId val="167050624"/>
        <c:scaling>
          <c:orientation val="minMax"/>
        </c:scaling>
        <c:axPos val="b"/>
        <c:title>
          <c:tx>
            <c:rich>
              <a:bodyPr/>
              <a:lstStyle/>
              <a:p>
                <a:pPr>
                  <a:defRPr sz="1000" b="1" i="0">
                    <a:latin typeface="Arial"/>
                    <a:ea typeface="Arial"/>
                    <a:cs typeface="Arial"/>
                  </a:defRPr>
                </a:pPr>
                <a:r>
                  <a:rPr lang="en-IN" b="1"/>
                  <a:t>Student/Faculty Ratio </a:t>
                </a:r>
              </a:p>
            </c:rich>
          </c:tx>
        </c:title>
        <c:numFmt formatCode="General" sourceLinked="1"/>
        <c:minorTickMark val="out"/>
        <c:tickLblPos val="nextTo"/>
        <c:txPr>
          <a:bodyPr/>
          <a:lstStyle/>
          <a:p>
            <a:pPr>
              <a:defRPr sz="1000" b="1" i="0">
                <a:latin typeface="Arial"/>
                <a:ea typeface="Arial"/>
                <a:cs typeface="Arial"/>
              </a:defRPr>
            </a:pPr>
            <a:endParaRPr lang="en-US"/>
          </a:p>
        </c:txPr>
        <c:crossAx val="172390272"/>
        <c:crosses val="autoZero"/>
        <c:crossBetween val="midCat"/>
      </c:valAx>
      <c:valAx>
        <c:axId val="172390272"/>
        <c:scaling>
          <c:orientation val="minMax"/>
        </c:scaling>
        <c:delete val="1"/>
        <c:axPos val="l"/>
        <c:numFmt formatCode="General" sourceLinked="1"/>
        <c:tickLblPos val="none"/>
        <c:crossAx val="167050624"/>
        <c:crossesAt val="-4114"/>
        <c:crossBetween val="midCat"/>
      </c:valAx>
      <c:spPr>
        <a:noFill/>
        <a:ln w="25400">
          <a:noFill/>
        </a:ln>
      </c:spPr>
    </c:plotArea>
    <c:plotVisOnly val="1"/>
  </c:chart>
  <c:txPr>
    <a:bodyPr/>
    <a:lstStyle/>
    <a:p>
      <a:pPr>
        <a:defRPr sz="1000" b="0" i="0">
          <a:latin typeface="Arial"/>
          <a:ea typeface="Arial"/>
          <a:cs typeface="Arial"/>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IN"/>
  <c:style val="16"/>
  <c:chart>
    <c:title>
      <c:tx>
        <c:rich>
          <a:bodyPr/>
          <a:lstStyle/>
          <a:p>
            <a:pPr>
              <a:defRPr/>
            </a:pPr>
            <a:r>
              <a:rPr lang="en-IN"/>
              <a:t>Histogram</a:t>
            </a:r>
          </a:p>
        </c:rich>
      </c:tx>
    </c:title>
    <c:plotArea>
      <c:layout/>
      <c:barChart>
        <c:barDir val="col"/>
        <c:grouping val="clustered"/>
        <c:ser>
          <c:idx val="0"/>
          <c:order val="0"/>
          <c:cat>
            <c:numRef>
              <c:f>Output!$B$86:$B$93</c:f>
              <c:numCache>
                <c:formatCode>#,##0\ ;\-#,##0\ </c:formatCode>
                <c:ptCount val="8"/>
                <c:pt idx="0">
                  <c:v>0</c:v>
                </c:pt>
                <c:pt idx="1">
                  <c:v>10</c:v>
                </c:pt>
                <c:pt idx="2">
                  <c:v>20</c:v>
                </c:pt>
                <c:pt idx="3">
                  <c:v>30</c:v>
                </c:pt>
                <c:pt idx="4">
                  <c:v>40</c:v>
                </c:pt>
                <c:pt idx="5">
                  <c:v>50</c:v>
                </c:pt>
                <c:pt idx="6">
                  <c:v>60</c:v>
                </c:pt>
                <c:pt idx="7" formatCode=";;;">
                  <c:v>69.990000000000023</c:v>
                </c:pt>
              </c:numCache>
            </c:numRef>
          </c:cat>
          <c:val>
            <c:numRef>
              <c:f>Output!$H$86:$H$93</c:f>
              <c:numCache>
                <c:formatCode>0.0\ \ \ </c:formatCode>
                <c:ptCount val="8"/>
                <c:pt idx="0">
                  <c:v>6.25</c:v>
                </c:pt>
                <c:pt idx="1">
                  <c:v>20.833333333333329</c:v>
                </c:pt>
                <c:pt idx="2">
                  <c:v>25</c:v>
                </c:pt>
                <c:pt idx="3">
                  <c:v>22.916666666666664</c:v>
                </c:pt>
                <c:pt idx="4">
                  <c:v>18.75</c:v>
                </c:pt>
                <c:pt idx="5">
                  <c:v>4.1666666666666661</c:v>
                </c:pt>
                <c:pt idx="6">
                  <c:v>2.0833333333333335</c:v>
                </c:pt>
              </c:numCache>
            </c:numRef>
          </c:val>
        </c:ser>
        <c:gapWidth val="0"/>
        <c:axId val="123722368"/>
        <c:axId val="129639168"/>
      </c:barChart>
      <c:catAx>
        <c:axId val="123722368"/>
        <c:scaling>
          <c:orientation val="minMax"/>
        </c:scaling>
        <c:axPos val="b"/>
        <c:title>
          <c:tx>
            <c:rich>
              <a:bodyPr/>
              <a:lstStyle/>
              <a:p>
                <a:pPr>
                  <a:defRPr/>
                </a:pPr>
                <a:r>
                  <a:rPr lang="en-IN"/>
                  <a:t>Alumni Giving Rate</a:t>
                </a:r>
              </a:p>
            </c:rich>
          </c:tx>
        </c:title>
        <c:numFmt formatCode="#,##0\ ;\-#,##0\ " sourceLinked="0"/>
        <c:majorTickMark val="none"/>
        <c:tickLblPos val="nextTo"/>
        <c:txPr>
          <a:bodyPr rot="-2700000" vert="horz"/>
          <a:lstStyle/>
          <a:p>
            <a:pPr>
              <a:defRPr b="1"/>
            </a:pPr>
            <a:endParaRPr lang="en-US"/>
          </a:p>
        </c:txPr>
        <c:crossAx val="129639168"/>
        <c:crosses val="autoZero"/>
        <c:auto val="1"/>
        <c:lblAlgn val="ctr"/>
        <c:lblOffset val="100"/>
      </c:catAx>
      <c:valAx>
        <c:axId val="129639168"/>
        <c:scaling>
          <c:orientation val="minMax"/>
        </c:scaling>
        <c:axPos val="l"/>
        <c:title>
          <c:tx>
            <c:rich>
              <a:bodyPr/>
              <a:lstStyle/>
              <a:p>
                <a:pPr>
                  <a:defRPr/>
                </a:pPr>
                <a:r>
                  <a:rPr lang="en-IN"/>
                  <a:t>Percent</a:t>
                </a:r>
              </a:p>
            </c:rich>
          </c:tx>
        </c:title>
        <c:numFmt formatCode="0" sourceLinked="0"/>
        <c:tickLblPos val="nextTo"/>
        <c:txPr>
          <a:bodyPr/>
          <a:lstStyle/>
          <a:p>
            <a:pPr>
              <a:defRPr b="1"/>
            </a:pPr>
            <a:endParaRPr lang="en-US"/>
          </a:p>
        </c:txPr>
        <c:crossAx val="12372236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sz="1000" b="1" i="0">
                <a:latin typeface="Arial"/>
                <a:ea typeface="Arial"/>
                <a:cs typeface="Arial"/>
              </a:defRPr>
            </a:pPr>
            <a:r>
              <a:rPr lang="en-IN" b="1"/>
              <a:t>BoxPlot</a:t>
            </a:r>
          </a:p>
        </c:rich>
      </c:tx>
    </c:title>
    <c:plotArea>
      <c:layout/>
      <c:scatterChart>
        <c:scatterStyle val="lineMarker"/>
        <c:ser>
          <c:idx val="0"/>
          <c:order val="0"/>
          <c:spPr>
            <a:ln w="12700">
              <a:solidFill>
                <a:srgbClr val="000000"/>
              </a:solidFill>
              <a:prstDash val="solid"/>
            </a:ln>
          </c:spPr>
          <c:marker>
            <c:symbol val="none"/>
          </c:marker>
          <c:xVal>
            <c:numRef>
              <c:f>ChartDataSheet_!$D$4:$D$16</c:f>
              <c:numCache>
                <c:formatCode>General</c:formatCode>
                <c:ptCount val="13"/>
                <c:pt idx="0">
                  <c:v>7</c:v>
                </c:pt>
                <c:pt idx="1">
                  <c:v>18.75</c:v>
                </c:pt>
                <c:pt idx="2">
                  <c:v>18.75</c:v>
                </c:pt>
                <c:pt idx="3">
                  <c:v>29</c:v>
                </c:pt>
                <c:pt idx="4">
                  <c:v>29</c:v>
                </c:pt>
                <c:pt idx="5">
                  <c:v>29</c:v>
                </c:pt>
                <c:pt idx="6">
                  <c:v>38.5</c:v>
                </c:pt>
                <c:pt idx="7">
                  <c:v>38.5</c:v>
                </c:pt>
                <c:pt idx="8">
                  <c:v>67</c:v>
                </c:pt>
                <c:pt idx="9">
                  <c:v>38.5</c:v>
                </c:pt>
                <c:pt idx="10">
                  <c:v>38.5</c:v>
                </c:pt>
                <c:pt idx="11">
                  <c:v>18.75</c:v>
                </c:pt>
                <c:pt idx="12">
                  <c:v>18.75</c:v>
                </c:pt>
              </c:numCache>
            </c:numRef>
          </c:xVal>
          <c:yVal>
            <c:numRef>
              <c:f>ChartDataSheet_!$A$4:$A$16</c:f>
              <c:numCache>
                <c:formatCode>General</c:formatCode>
                <c:ptCount val="13"/>
                <c:pt idx="0">
                  <c:v>2</c:v>
                </c:pt>
                <c:pt idx="1">
                  <c:v>2</c:v>
                </c:pt>
                <c:pt idx="2">
                  <c:v>3</c:v>
                </c:pt>
                <c:pt idx="3">
                  <c:v>3</c:v>
                </c:pt>
                <c:pt idx="4">
                  <c:v>1</c:v>
                </c:pt>
                <c:pt idx="5">
                  <c:v>3</c:v>
                </c:pt>
                <c:pt idx="6">
                  <c:v>3</c:v>
                </c:pt>
                <c:pt idx="7">
                  <c:v>2</c:v>
                </c:pt>
                <c:pt idx="8">
                  <c:v>2</c:v>
                </c:pt>
                <c:pt idx="9">
                  <c:v>2</c:v>
                </c:pt>
                <c:pt idx="10">
                  <c:v>1</c:v>
                </c:pt>
                <c:pt idx="11">
                  <c:v>1</c:v>
                </c:pt>
                <c:pt idx="12">
                  <c:v>2</c:v>
                </c:pt>
              </c:numCache>
            </c:numRef>
          </c:yVal>
        </c:ser>
        <c:axId val="129667456"/>
        <c:axId val="129669376"/>
      </c:scatterChart>
      <c:valAx>
        <c:axId val="129667456"/>
        <c:scaling>
          <c:orientation val="minMax"/>
        </c:scaling>
        <c:axPos val="b"/>
        <c:title>
          <c:tx>
            <c:rich>
              <a:bodyPr/>
              <a:lstStyle/>
              <a:p>
                <a:pPr>
                  <a:defRPr sz="1000" b="1" i="0">
                    <a:latin typeface="Arial"/>
                    <a:ea typeface="Arial"/>
                    <a:cs typeface="Arial"/>
                  </a:defRPr>
                </a:pPr>
                <a:r>
                  <a:rPr lang="en-IN" b="1"/>
                  <a:t>Alumni Giving Rate </a:t>
                </a:r>
              </a:p>
            </c:rich>
          </c:tx>
        </c:title>
        <c:numFmt formatCode="General" sourceLinked="1"/>
        <c:minorTickMark val="out"/>
        <c:tickLblPos val="nextTo"/>
        <c:txPr>
          <a:bodyPr/>
          <a:lstStyle/>
          <a:p>
            <a:pPr>
              <a:defRPr sz="1000" b="1" i="0">
                <a:latin typeface="Arial"/>
                <a:ea typeface="Arial"/>
                <a:cs typeface="Arial"/>
              </a:defRPr>
            </a:pPr>
            <a:endParaRPr lang="en-US"/>
          </a:p>
        </c:txPr>
        <c:crossAx val="129669376"/>
        <c:crosses val="autoZero"/>
        <c:crossBetween val="midCat"/>
      </c:valAx>
      <c:valAx>
        <c:axId val="129669376"/>
        <c:scaling>
          <c:orientation val="minMax"/>
        </c:scaling>
        <c:delete val="1"/>
        <c:axPos val="l"/>
        <c:numFmt formatCode="General" sourceLinked="1"/>
        <c:tickLblPos val="none"/>
        <c:crossAx val="129667456"/>
        <c:crossesAt val="-4114"/>
        <c:crossBetween val="midCat"/>
      </c:valAx>
      <c:spPr>
        <a:noFill/>
        <a:ln w="25400">
          <a:noFill/>
        </a:ln>
      </c:spPr>
    </c:plotArea>
    <c:plotVisOnly val="1"/>
  </c:chart>
  <c:txPr>
    <a:bodyPr/>
    <a:lstStyle/>
    <a:p>
      <a:pPr>
        <a:defRPr sz="1000" b="0" i="0">
          <a:latin typeface="Arial"/>
          <a:ea typeface="Arial"/>
          <a:cs typeface="Arial"/>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sz="1000" b="0" i="0">
                <a:latin typeface="Arial"/>
                <a:ea typeface="Arial"/>
                <a:cs typeface="Arial"/>
              </a:defRPr>
            </a:pPr>
            <a:r>
              <a:rPr lang="en-IN"/>
              <a:t> </a:t>
            </a:r>
          </a:p>
        </c:rich>
      </c:tx>
    </c:title>
    <c:plotArea>
      <c:layout/>
      <c:scatterChart>
        <c:scatterStyle val="lineMarker"/>
        <c:ser>
          <c:idx val="0"/>
          <c:order val="0"/>
          <c:spPr>
            <a:ln w="28575">
              <a:noFill/>
            </a:ln>
          </c:spPr>
          <c:marker>
            <c:symbol val="diamond"/>
            <c:size val="5"/>
            <c:spPr>
              <a:solidFill>
                <a:srgbClr val="000000"/>
              </a:solidFill>
              <a:ln w="9525">
                <a:noFill/>
              </a:ln>
            </c:spPr>
          </c:marker>
          <c:trendline>
            <c:spPr>
              <a:ln w="3175"/>
            </c:spPr>
            <c:trendlineType val="linear"/>
            <c:dispRSqr val="1"/>
            <c:dispEq val="1"/>
            <c:trendlineLbl>
              <c:layout>
                <c:manualLayout>
                  <c:x val="0.10226301563050889"/>
                  <c:y val="-0.3662954630671168"/>
                </c:manualLayout>
              </c:layout>
              <c:numFmt formatCode="#,##0.000\ ;\-#,##0.000\ " sourceLinked="0"/>
              <c:txPr>
                <a:bodyPr/>
                <a:lstStyle/>
                <a:p>
                  <a:pPr>
                    <a:defRPr sz="1000" b="1" i="0">
                      <a:latin typeface="Arial"/>
                      <a:ea typeface="Arial"/>
                      <a:cs typeface="Arial"/>
                    </a:defRPr>
                  </a:pPr>
                  <a:endParaRPr lang="en-US"/>
                </a:p>
              </c:txPr>
            </c:trendlineLbl>
          </c:trendline>
          <c:xVal>
            <c:numRef>
              <c:f>Sheet2!$A$2:$A$49</c:f>
              <c:numCache>
                <c:formatCode>General</c:formatCode>
                <c:ptCount val="48"/>
                <c:pt idx="0">
                  <c:v>39</c:v>
                </c:pt>
                <c:pt idx="1">
                  <c:v>68</c:v>
                </c:pt>
                <c:pt idx="2">
                  <c:v>60</c:v>
                </c:pt>
                <c:pt idx="3">
                  <c:v>65</c:v>
                </c:pt>
                <c:pt idx="4">
                  <c:v>67</c:v>
                </c:pt>
                <c:pt idx="5">
                  <c:v>52</c:v>
                </c:pt>
                <c:pt idx="6">
                  <c:v>45</c:v>
                </c:pt>
                <c:pt idx="7">
                  <c:v>69</c:v>
                </c:pt>
                <c:pt idx="8">
                  <c:v>72</c:v>
                </c:pt>
                <c:pt idx="9">
                  <c:v>61</c:v>
                </c:pt>
                <c:pt idx="10">
                  <c:v>68</c:v>
                </c:pt>
                <c:pt idx="11">
                  <c:v>65</c:v>
                </c:pt>
                <c:pt idx="12">
                  <c:v>54</c:v>
                </c:pt>
                <c:pt idx="13">
                  <c:v>73</c:v>
                </c:pt>
                <c:pt idx="14">
                  <c:v>64</c:v>
                </c:pt>
                <c:pt idx="15">
                  <c:v>55</c:v>
                </c:pt>
                <c:pt idx="16">
                  <c:v>65</c:v>
                </c:pt>
                <c:pt idx="17">
                  <c:v>63</c:v>
                </c:pt>
                <c:pt idx="18">
                  <c:v>66</c:v>
                </c:pt>
                <c:pt idx="19">
                  <c:v>32</c:v>
                </c:pt>
                <c:pt idx="20">
                  <c:v>68</c:v>
                </c:pt>
                <c:pt idx="21">
                  <c:v>62</c:v>
                </c:pt>
                <c:pt idx="22">
                  <c:v>69</c:v>
                </c:pt>
                <c:pt idx="23">
                  <c:v>67</c:v>
                </c:pt>
                <c:pt idx="24">
                  <c:v>56</c:v>
                </c:pt>
                <c:pt idx="25">
                  <c:v>58</c:v>
                </c:pt>
                <c:pt idx="26">
                  <c:v>32</c:v>
                </c:pt>
                <c:pt idx="27">
                  <c:v>42</c:v>
                </c:pt>
                <c:pt idx="28">
                  <c:v>41</c:v>
                </c:pt>
                <c:pt idx="29">
                  <c:v>48</c:v>
                </c:pt>
                <c:pt idx="30">
                  <c:v>45</c:v>
                </c:pt>
                <c:pt idx="31">
                  <c:v>65</c:v>
                </c:pt>
                <c:pt idx="32">
                  <c:v>31</c:v>
                </c:pt>
                <c:pt idx="33">
                  <c:v>29</c:v>
                </c:pt>
                <c:pt idx="34">
                  <c:v>51</c:v>
                </c:pt>
                <c:pt idx="35">
                  <c:v>40</c:v>
                </c:pt>
                <c:pt idx="36">
                  <c:v>53</c:v>
                </c:pt>
                <c:pt idx="37">
                  <c:v>65</c:v>
                </c:pt>
                <c:pt idx="38">
                  <c:v>63</c:v>
                </c:pt>
                <c:pt idx="39">
                  <c:v>53</c:v>
                </c:pt>
                <c:pt idx="40">
                  <c:v>39</c:v>
                </c:pt>
                <c:pt idx="41">
                  <c:v>44</c:v>
                </c:pt>
                <c:pt idx="42">
                  <c:v>37</c:v>
                </c:pt>
                <c:pt idx="43">
                  <c:v>37</c:v>
                </c:pt>
                <c:pt idx="44">
                  <c:v>68</c:v>
                </c:pt>
                <c:pt idx="45">
                  <c:v>59</c:v>
                </c:pt>
                <c:pt idx="46">
                  <c:v>73</c:v>
                </c:pt>
                <c:pt idx="47">
                  <c:v>77</c:v>
                </c:pt>
              </c:numCache>
            </c:numRef>
          </c:xVal>
          <c:yVal>
            <c:numRef>
              <c:f>Sheet2!$B$2:$B$49</c:f>
              <c:numCache>
                <c:formatCode>General</c:formatCode>
                <c:ptCount val="48"/>
                <c:pt idx="0">
                  <c:v>25</c:v>
                </c:pt>
                <c:pt idx="1">
                  <c:v>33</c:v>
                </c:pt>
                <c:pt idx="2">
                  <c:v>40</c:v>
                </c:pt>
                <c:pt idx="3">
                  <c:v>46</c:v>
                </c:pt>
                <c:pt idx="4">
                  <c:v>28</c:v>
                </c:pt>
                <c:pt idx="5">
                  <c:v>31</c:v>
                </c:pt>
                <c:pt idx="6">
                  <c:v>27</c:v>
                </c:pt>
                <c:pt idx="7">
                  <c:v>31</c:v>
                </c:pt>
                <c:pt idx="8">
                  <c:v>35</c:v>
                </c:pt>
                <c:pt idx="9">
                  <c:v>53</c:v>
                </c:pt>
                <c:pt idx="10">
                  <c:v>45</c:v>
                </c:pt>
                <c:pt idx="11">
                  <c:v>37</c:v>
                </c:pt>
                <c:pt idx="12">
                  <c:v>29</c:v>
                </c:pt>
                <c:pt idx="13">
                  <c:v>46</c:v>
                </c:pt>
                <c:pt idx="14">
                  <c:v>27</c:v>
                </c:pt>
                <c:pt idx="15">
                  <c:v>40</c:v>
                </c:pt>
                <c:pt idx="16">
                  <c:v>44</c:v>
                </c:pt>
                <c:pt idx="17">
                  <c:v>13</c:v>
                </c:pt>
                <c:pt idx="18">
                  <c:v>30</c:v>
                </c:pt>
                <c:pt idx="19">
                  <c:v>21</c:v>
                </c:pt>
                <c:pt idx="20">
                  <c:v>67</c:v>
                </c:pt>
                <c:pt idx="21">
                  <c:v>40</c:v>
                </c:pt>
                <c:pt idx="22">
                  <c:v>34</c:v>
                </c:pt>
                <c:pt idx="23">
                  <c:v>29</c:v>
                </c:pt>
                <c:pt idx="24">
                  <c:v>17</c:v>
                </c:pt>
                <c:pt idx="25">
                  <c:v>18</c:v>
                </c:pt>
                <c:pt idx="26">
                  <c:v>7</c:v>
                </c:pt>
                <c:pt idx="27">
                  <c:v>9</c:v>
                </c:pt>
                <c:pt idx="28">
                  <c:v>13</c:v>
                </c:pt>
                <c:pt idx="29">
                  <c:v>8</c:v>
                </c:pt>
                <c:pt idx="30">
                  <c:v>12</c:v>
                </c:pt>
                <c:pt idx="31">
                  <c:v>36</c:v>
                </c:pt>
                <c:pt idx="32">
                  <c:v>19</c:v>
                </c:pt>
                <c:pt idx="33">
                  <c:v>23</c:v>
                </c:pt>
                <c:pt idx="34">
                  <c:v>13</c:v>
                </c:pt>
                <c:pt idx="35">
                  <c:v>26</c:v>
                </c:pt>
                <c:pt idx="36">
                  <c:v>49</c:v>
                </c:pt>
                <c:pt idx="37">
                  <c:v>41</c:v>
                </c:pt>
                <c:pt idx="38">
                  <c:v>23</c:v>
                </c:pt>
                <c:pt idx="39">
                  <c:v>22</c:v>
                </c:pt>
                <c:pt idx="40">
                  <c:v>13</c:v>
                </c:pt>
                <c:pt idx="41">
                  <c:v>28</c:v>
                </c:pt>
                <c:pt idx="42">
                  <c:v>12</c:v>
                </c:pt>
                <c:pt idx="43">
                  <c:v>13</c:v>
                </c:pt>
                <c:pt idx="44">
                  <c:v>31</c:v>
                </c:pt>
                <c:pt idx="45">
                  <c:v>38</c:v>
                </c:pt>
                <c:pt idx="46">
                  <c:v>33</c:v>
                </c:pt>
                <c:pt idx="47">
                  <c:v>50</c:v>
                </c:pt>
              </c:numCache>
            </c:numRef>
          </c:yVal>
        </c:ser>
        <c:axId val="136760320"/>
        <c:axId val="137655424"/>
      </c:scatterChart>
      <c:valAx>
        <c:axId val="136760320"/>
        <c:scaling>
          <c:orientation val="minMax"/>
          <c:min val="20"/>
        </c:scaling>
        <c:axPos val="b"/>
        <c:title>
          <c:tx>
            <c:rich>
              <a:bodyPr/>
              <a:lstStyle/>
              <a:p>
                <a:pPr>
                  <a:defRPr sz="1000" b="1" i="0">
                    <a:latin typeface="Arial"/>
                    <a:ea typeface="Arial"/>
                    <a:cs typeface="Arial"/>
                  </a:defRPr>
                </a:pPr>
                <a:r>
                  <a:rPr lang="en-IN" b="1"/>
                  <a:t>% of Classes Under 20</a:t>
                </a:r>
              </a:p>
            </c:rich>
          </c:tx>
        </c:title>
        <c:numFmt formatCode="General" sourceLinked="1"/>
        <c:majorTickMark val="cross"/>
        <c:minorTickMark val="cross"/>
        <c:tickLblPos val="nextTo"/>
        <c:txPr>
          <a:bodyPr/>
          <a:lstStyle/>
          <a:p>
            <a:pPr>
              <a:defRPr sz="1000" b="1" i="0">
                <a:latin typeface="Arial"/>
                <a:ea typeface="Arial"/>
                <a:cs typeface="Arial"/>
              </a:defRPr>
            </a:pPr>
            <a:endParaRPr lang="en-US"/>
          </a:p>
        </c:txPr>
        <c:crossAx val="137655424"/>
        <c:crosses val="autoZero"/>
        <c:crossBetween val="midCat"/>
      </c:valAx>
      <c:valAx>
        <c:axId val="137655424"/>
        <c:scaling>
          <c:orientation val="minMax"/>
        </c:scaling>
        <c:axPos val="l"/>
        <c:title>
          <c:tx>
            <c:rich>
              <a:bodyPr/>
              <a:lstStyle/>
              <a:p>
                <a:pPr>
                  <a:defRPr sz="1000" b="1" i="0">
                    <a:latin typeface="Arial"/>
                    <a:ea typeface="Arial"/>
                    <a:cs typeface="Arial"/>
                  </a:defRPr>
                </a:pPr>
                <a:r>
                  <a:rPr lang="en-IN" b="1"/>
                  <a:t>Alumni Giving Rate</a:t>
                </a:r>
              </a:p>
            </c:rich>
          </c:tx>
        </c:title>
        <c:numFmt formatCode="General" sourceLinked="1"/>
        <c:majorTickMark val="cross"/>
        <c:minorTickMark val="cross"/>
        <c:tickLblPos val="nextTo"/>
        <c:txPr>
          <a:bodyPr/>
          <a:lstStyle/>
          <a:p>
            <a:pPr>
              <a:defRPr sz="1000" b="1" i="0">
                <a:latin typeface="Arial"/>
                <a:ea typeface="Arial"/>
                <a:cs typeface="Arial"/>
              </a:defRPr>
            </a:pPr>
            <a:endParaRPr lang="en-US"/>
          </a:p>
        </c:txPr>
        <c:crossAx val="136760320"/>
        <c:crosses val="autoZero"/>
        <c:crossBetween val="midCat"/>
      </c:valAx>
      <c:spPr>
        <a:noFill/>
        <a:ln w="25400">
          <a:noFill/>
        </a:ln>
      </c:spPr>
    </c:plotArea>
    <c:plotVisOnly val="1"/>
  </c:chart>
  <c:txPr>
    <a:bodyPr/>
    <a:lstStyle/>
    <a:p>
      <a:pPr>
        <a:defRPr sz="1000" b="0" i="0">
          <a:latin typeface="Arial"/>
          <a:ea typeface="Arial"/>
          <a:cs typeface="Arial"/>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sz="1000" b="0" i="0">
                <a:latin typeface="Arial"/>
                <a:ea typeface="Arial"/>
                <a:cs typeface="Arial"/>
              </a:defRPr>
            </a:pPr>
            <a:r>
              <a:rPr lang="en-IN"/>
              <a:t> </a:t>
            </a:r>
          </a:p>
        </c:rich>
      </c:tx>
    </c:title>
    <c:plotArea>
      <c:layout/>
      <c:scatterChart>
        <c:scatterStyle val="lineMarker"/>
        <c:ser>
          <c:idx val="0"/>
          <c:order val="0"/>
          <c:spPr>
            <a:ln w="28575">
              <a:noFill/>
            </a:ln>
          </c:spPr>
          <c:marker>
            <c:symbol val="diamond"/>
            <c:size val="5"/>
            <c:spPr>
              <a:solidFill>
                <a:srgbClr val="000000"/>
              </a:solidFill>
              <a:ln w="9525">
                <a:noFill/>
              </a:ln>
            </c:spPr>
          </c:marker>
          <c:trendline>
            <c:spPr>
              <a:ln w="3175"/>
            </c:spPr>
            <c:trendlineType val="linear"/>
            <c:dispRSqr val="1"/>
            <c:dispEq val="1"/>
            <c:trendlineLbl>
              <c:layout>
                <c:manualLayout>
                  <c:x val="0.13077447408626175"/>
                  <c:y val="-0.70025121859767592"/>
                </c:manualLayout>
              </c:layout>
              <c:numFmt formatCode="#,##0.000\ ;\-#,##0.000\ " sourceLinked="0"/>
              <c:txPr>
                <a:bodyPr/>
                <a:lstStyle/>
                <a:p>
                  <a:pPr>
                    <a:defRPr sz="1000" b="1" i="0">
                      <a:latin typeface="Arial"/>
                      <a:ea typeface="Arial"/>
                      <a:cs typeface="Arial"/>
                    </a:defRPr>
                  </a:pPr>
                  <a:endParaRPr lang="en-US"/>
                </a:p>
              </c:txPr>
            </c:trendlineLbl>
          </c:trendline>
          <c:xVal>
            <c:numRef>
              <c:f>Sheet3!$A$2:$A$49</c:f>
              <c:numCache>
                <c:formatCode>General</c:formatCode>
                <c:ptCount val="48"/>
                <c:pt idx="0">
                  <c:v>13</c:v>
                </c:pt>
                <c:pt idx="1">
                  <c:v>8</c:v>
                </c:pt>
                <c:pt idx="2">
                  <c:v>8</c:v>
                </c:pt>
                <c:pt idx="3">
                  <c:v>3</c:v>
                </c:pt>
                <c:pt idx="4">
                  <c:v>10</c:v>
                </c:pt>
                <c:pt idx="5">
                  <c:v>8</c:v>
                </c:pt>
                <c:pt idx="6">
                  <c:v>12</c:v>
                </c:pt>
                <c:pt idx="7">
                  <c:v>7</c:v>
                </c:pt>
                <c:pt idx="8">
                  <c:v>13</c:v>
                </c:pt>
                <c:pt idx="9">
                  <c:v>10</c:v>
                </c:pt>
                <c:pt idx="10">
                  <c:v>8</c:v>
                </c:pt>
                <c:pt idx="11">
                  <c:v>7</c:v>
                </c:pt>
                <c:pt idx="12">
                  <c:v>10</c:v>
                </c:pt>
                <c:pt idx="13">
                  <c:v>8</c:v>
                </c:pt>
                <c:pt idx="14">
                  <c:v>9</c:v>
                </c:pt>
                <c:pt idx="15">
                  <c:v>11</c:v>
                </c:pt>
                <c:pt idx="16">
                  <c:v>6</c:v>
                </c:pt>
                <c:pt idx="17">
                  <c:v>13</c:v>
                </c:pt>
                <c:pt idx="18">
                  <c:v>8</c:v>
                </c:pt>
                <c:pt idx="19">
                  <c:v>19</c:v>
                </c:pt>
                <c:pt idx="20">
                  <c:v>5</c:v>
                </c:pt>
                <c:pt idx="21">
                  <c:v>8</c:v>
                </c:pt>
                <c:pt idx="22">
                  <c:v>7</c:v>
                </c:pt>
                <c:pt idx="23">
                  <c:v>9</c:v>
                </c:pt>
                <c:pt idx="24">
                  <c:v>12</c:v>
                </c:pt>
                <c:pt idx="25">
                  <c:v>17</c:v>
                </c:pt>
                <c:pt idx="26">
                  <c:v>19</c:v>
                </c:pt>
                <c:pt idx="27">
                  <c:v>20</c:v>
                </c:pt>
                <c:pt idx="28">
                  <c:v>18</c:v>
                </c:pt>
                <c:pt idx="29">
                  <c:v>19</c:v>
                </c:pt>
                <c:pt idx="30">
                  <c:v>20</c:v>
                </c:pt>
                <c:pt idx="31">
                  <c:v>4</c:v>
                </c:pt>
                <c:pt idx="32">
                  <c:v>23</c:v>
                </c:pt>
                <c:pt idx="33">
                  <c:v>15</c:v>
                </c:pt>
                <c:pt idx="34">
                  <c:v>15</c:v>
                </c:pt>
                <c:pt idx="35">
                  <c:v>16</c:v>
                </c:pt>
                <c:pt idx="36">
                  <c:v>13</c:v>
                </c:pt>
                <c:pt idx="37">
                  <c:v>7</c:v>
                </c:pt>
                <c:pt idx="38">
                  <c:v>10</c:v>
                </c:pt>
                <c:pt idx="39">
                  <c:v>13</c:v>
                </c:pt>
                <c:pt idx="40">
                  <c:v>21</c:v>
                </c:pt>
                <c:pt idx="41">
                  <c:v>13</c:v>
                </c:pt>
                <c:pt idx="42">
                  <c:v>12</c:v>
                </c:pt>
                <c:pt idx="43">
                  <c:v>13</c:v>
                </c:pt>
                <c:pt idx="44">
                  <c:v>9</c:v>
                </c:pt>
                <c:pt idx="45">
                  <c:v>11</c:v>
                </c:pt>
                <c:pt idx="46">
                  <c:v>7</c:v>
                </c:pt>
                <c:pt idx="47">
                  <c:v>7</c:v>
                </c:pt>
              </c:numCache>
            </c:numRef>
          </c:xVal>
          <c:yVal>
            <c:numRef>
              <c:f>Sheet3!$B$2:$B$49</c:f>
              <c:numCache>
                <c:formatCode>General</c:formatCode>
                <c:ptCount val="48"/>
                <c:pt idx="0">
                  <c:v>25</c:v>
                </c:pt>
                <c:pt idx="1">
                  <c:v>33</c:v>
                </c:pt>
                <c:pt idx="2">
                  <c:v>40</c:v>
                </c:pt>
                <c:pt idx="3">
                  <c:v>46</c:v>
                </c:pt>
                <c:pt idx="4">
                  <c:v>28</c:v>
                </c:pt>
                <c:pt idx="5">
                  <c:v>31</c:v>
                </c:pt>
                <c:pt idx="6">
                  <c:v>27</c:v>
                </c:pt>
                <c:pt idx="7">
                  <c:v>31</c:v>
                </c:pt>
                <c:pt idx="8">
                  <c:v>35</c:v>
                </c:pt>
                <c:pt idx="9">
                  <c:v>53</c:v>
                </c:pt>
                <c:pt idx="10">
                  <c:v>45</c:v>
                </c:pt>
                <c:pt idx="11">
                  <c:v>37</c:v>
                </c:pt>
                <c:pt idx="12">
                  <c:v>29</c:v>
                </c:pt>
                <c:pt idx="13">
                  <c:v>46</c:v>
                </c:pt>
                <c:pt idx="14">
                  <c:v>27</c:v>
                </c:pt>
                <c:pt idx="15">
                  <c:v>40</c:v>
                </c:pt>
                <c:pt idx="16">
                  <c:v>44</c:v>
                </c:pt>
                <c:pt idx="17">
                  <c:v>13</c:v>
                </c:pt>
                <c:pt idx="18">
                  <c:v>30</c:v>
                </c:pt>
                <c:pt idx="19">
                  <c:v>21</c:v>
                </c:pt>
                <c:pt idx="20">
                  <c:v>67</c:v>
                </c:pt>
                <c:pt idx="21">
                  <c:v>40</c:v>
                </c:pt>
                <c:pt idx="22">
                  <c:v>34</c:v>
                </c:pt>
                <c:pt idx="23">
                  <c:v>29</c:v>
                </c:pt>
                <c:pt idx="24">
                  <c:v>17</c:v>
                </c:pt>
                <c:pt idx="25">
                  <c:v>18</c:v>
                </c:pt>
                <c:pt idx="26">
                  <c:v>7</c:v>
                </c:pt>
                <c:pt idx="27">
                  <c:v>9</c:v>
                </c:pt>
                <c:pt idx="28">
                  <c:v>13</c:v>
                </c:pt>
                <c:pt idx="29">
                  <c:v>8</c:v>
                </c:pt>
                <c:pt idx="30">
                  <c:v>12</c:v>
                </c:pt>
                <c:pt idx="31">
                  <c:v>36</c:v>
                </c:pt>
                <c:pt idx="32">
                  <c:v>19</c:v>
                </c:pt>
                <c:pt idx="33">
                  <c:v>23</c:v>
                </c:pt>
                <c:pt idx="34">
                  <c:v>13</c:v>
                </c:pt>
                <c:pt idx="35">
                  <c:v>26</c:v>
                </c:pt>
                <c:pt idx="36">
                  <c:v>49</c:v>
                </c:pt>
                <c:pt idx="37">
                  <c:v>41</c:v>
                </c:pt>
                <c:pt idx="38">
                  <c:v>23</c:v>
                </c:pt>
                <c:pt idx="39">
                  <c:v>22</c:v>
                </c:pt>
                <c:pt idx="40">
                  <c:v>13</c:v>
                </c:pt>
                <c:pt idx="41">
                  <c:v>28</c:v>
                </c:pt>
                <c:pt idx="42">
                  <c:v>12</c:v>
                </c:pt>
                <c:pt idx="43">
                  <c:v>13</c:v>
                </c:pt>
                <c:pt idx="44">
                  <c:v>31</c:v>
                </c:pt>
                <c:pt idx="45">
                  <c:v>38</c:v>
                </c:pt>
                <c:pt idx="46">
                  <c:v>33</c:v>
                </c:pt>
                <c:pt idx="47">
                  <c:v>50</c:v>
                </c:pt>
              </c:numCache>
            </c:numRef>
          </c:yVal>
        </c:ser>
        <c:axId val="141895936"/>
        <c:axId val="142016896"/>
      </c:scatterChart>
      <c:valAx>
        <c:axId val="141895936"/>
        <c:scaling>
          <c:orientation val="minMax"/>
        </c:scaling>
        <c:axPos val="b"/>
        <c:title>
          <c:tx>
            <c:rich>
              <a:bodyPr/>
              <a:lstStyle/>
              <a:p>
                <a:pPr>
                  <a:defRPr sz="1000" b="1" i="0">
                    <a:latin typeface="Arial"/>
                    <a:ea typeface="Arial"/>
                    <a:cs typeface="Arial"/>
                  </a:defRPr>
                </a:pPr>
                <a:r>
                  <a:rPr lang="en-IN" b="1"/>
                  <a:t>Student/Faculty Ratio</a:t>
                </a:r>
              </a:p>
            </c:rich>
          </c:tx>
        </c:title>
        <c:numFmt formatCode="General" sourceLinked="1"/>
        <c:majorTickMark val="cross"/>
        <c:minorTickMark val="cross"/>
        <c:tickLblPos val="nextTo"/>
        <c:txPr>
          <a:bodyPr/>
          <a:lstStyle/>
          <a:p>
            <a:pPr>
              <a:defRPr sz="1000" b="1" i="0">
                <a:latin typeface="Arial"/>
                <a:ea typeface="Arial"/>
                <a:cs typeface="Arial"/>
              </a:defRPr>
            </a:pPr>
            <a:endParaRPr lang="en-US"/>
          </a:p>
        </c:txPr>
        <c:crossAx val="142016896"/>
        <c:crosses val="autoZero"/>
        <c:crossBetween val="midCat"/>
      </c:valAx>
      <c:valAx>
        <c:axId val="142016896"/>
        <c:scaling>
          <c:orientation val="minMax"/>
        </c:scaling>
        <c:axPos val="l"/>
        <c:title>
          <c:tx>
            <c:rich>
              <a:bodyPr/>
              <a:lstStyle/>
              <a:p>
                <a:pPr>
                  <a:defRPr sz="1000" b="1" i="0">
                    <a:latin typeface="Arial"/>
                    <a:ea typeface="Arial"/>
                    <a:cs typeface="Arial"/>
                  </a:defRPr>
                </a:pPr>
                <a:r>
                  <a:rPr lang="en-IN" b="1"/>
                  <a:t>Alumni Giving Rate</a:t>
                </a:r>
              </a:p>
            </c:rich>
          </c:tx>
        </c:title>
        <c:numFmt formatCode="General" sourceLinked="1"/>
        <c:majorTickMark val="cross"/>
        <c:minorTickMark val="cross"/>
        <c:tickLblPos val="nextTo"/>
        <c:txPr>
          <a:bodyPr/>
          <a:lstStyle/>
          <a:p>
            <a:pPr>
              <a:defRPr sz="1000" b="1" i="0">
                <a:latin typeface="Arial"/>
                <a:ea typeface="Arial"/>
                <a:cs typeface="Arial"/>
              </a:defRPr>
            </a:pPr>
            <a:endParaRPr lang="en-US"/>
          </a:p>
        </c:txPr>
        <c:crossAx val="141895936"/>
        <c:crosses val="autoZero"/>
        <c:crossBetween val="midCat"/>
      </c:valAx>
      <c:spPr>
        <a:noFill/>
        <a:ln w="25400">
          <a:noFill/>
        </a:ln>
      </c:spPr>
    </c:plotArea>
    <c:plotVisOnly val="1"/>
  </c:chart>
  <c:txPr>
    <a:bodyPr/>
    <a:lstStyle/>
    <a:p>
      <a:pPr>
        <a:defRPr sz="1000" b="0" i="0">
          <a:latin typeface="Arial"/>
          <a:ea typeface="Arial"/>
          <a:cs typeface="Arial"/>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IN"/>
  <c:style val="11"/>
  <c:chart>
    <c:title>
      <c:tx>
        <c:rich>
          <a:bodyPr/>
          <a:lstStyle/>
          <a:p>
            <a:pPr>
              <a:defRPr/>
            </a:pPr>
            <a:r>
              <a:rPr lang="en-IN"/>
              <a:t>Histogram</a:t>
            </a:r>
          </a:p>
        </c:rich>
      </c:tx>
    </c:title>
    <c:plotArea>
      <c:layout/>
      <c:barChart>
        <c:barDir val="col"/>
        <c:grouping val="clustered"/>
        <c:ser>
          <c:idx val="0"/>
          <c:order val="0"/>
          <c:cat>
            <c:numRef>
              <c:f>Output!$B$206:$B$215</c:f>
              <c:numCache>
                <c:formatCode>#,##0.000\ ;\-#,##0.000\ </c:formatCode>
                <c:ptCount val="10"/>
                <c:pt idx="0">
                  <c:v>-20</c:v>
                </c:pt>
                <c:pt idx="1">
                  <c:v>-15</c:v>
                </c:pt>
                <c:pt idx="2">
                  <c:v>-10</c:v>
                </c:pt>
                <c:pt idx="3">
                  <c:v>-5</c:v>
                </c:pt>
                <c:pt idx="4">
                  <c:v>0</c:v>
                </c:pt>
                <c:pt idx="5">
                  <c:v>5</c:v>
                </c:pt>
                <c:pt idx="6">
                  <c:v>10</c:v>
                </c:pt>
                <c:pt idx="7">
                  <c:v>15</c:v>
                </c:pt>
                <c:pt idx="8">
                  <c:v>20</c:v>
                </c:pt>
                <c:pt idx="9" formatCode=";;;">
                  <c:v>24.999999000000003</c:v>
                </c:pt>
              </c:numCache>
            </c:numRef>
          </c:cat>
          <c:val>
            <c:numRef>
              <c:f>Output!$H$206:$H$215</c:f>
              <c:numCache>
                <c:formatCode>0.0\ \ \ </c:formatCode>
                <c:ptCount val="10"/>
                <c:pt idx="0">
                  <c:v>2.0833333333333335</c:v>
                </c:pt>
                <c:pt idx="1">
                  <c:v>6.25</c:v>
                </c:pt>
                <c:pt idx="2">
                  <c:v>22.916666666666664</c:v>
                </c:pt>
                <c:pt idx="3">
                  <c:v>27.083333333333321</c:v>
                </c:pt>
                <c:pt idx="4">
                  <c:v>16.666666666666664</c:v>
                </c:pt>
                <c:pt idx="5">
                  <c:v>14.583333333333334</c:v>
                </c:pt>
                <c:pt idx="6">
                  <c:v>4.1666666666666661</c:v>
                </c:pt>
                <c:pt idx="7">
                  <c:v>0</c:v>
                </c:pt>
                <c:pt idx="8">
                  <c:v>6.25</c:v>
                </c:pt>
              </c:numCache>
            </c:numRef>
          </c:val>
        </c:ser>
        <c:gapWidth val="0"/>
        <c:axId val="142041088"/>
        <c:axId val="142043008"/>
      </c:barChart>
      <c:catAx>
        <c:axId val="142041088"/>
        <c:scaling>
          <c:orientation val="minMax"/>
        </c:scaling>
        <c:axPos val="b"/>
        <c:title>
          <c:tx>
            <c:rich>
              <a:bodyPr/>
              <a:lstStyle/>
              <a:p>
                <a:pPr>
                  <a:defRPr/>
                </a:pPr>
                <a:r>
                  <a:rPr lang="en-IN"/>
                  <a:t>Residuals</a:t>
                </a:r>
              </a:p>
            </c:rich>
          </c:tx>
        </c:title>
        <c:numFmt formatCode="#,##0.000\ ;\-#,##0.000\ " sourceLinked="0"/>
        <c:majorTickMark val="none"/>
        <c:tickLblPos val="nextTo"/>
        <c:txPr>
          <a:bodyPr rot="-2700000" vert="horz"/>
          <a:lstStyle/>
          <a:p>
            <a:pPr>
              <a:defRPr b="1"/>
            </a:pPr>
            <a:endParaRPr lang="en-US"/>
          </a:p>
        </c:txPr>
        <c:crossAx val="142043008"/>
        <c:crosses val="autoZero"/>
        <c:auto val="1"/>
        <c:lblAlgn val="ctr"/>
        <c:lblOffset val="100"/>
      </c:catAx>
      <c:valAx>
        <c:axId val="142043008"/>
        <c:scaling>
          <c:orientation val="minMax"/>
        </c:scaling>
        <c:axPos val="l"/>
        <c:title>
          <c:tx>
            <c:rich>
              <a:bodyPr/>
              <a:lstStyle/>
              <a:p>
                <a:pPr>
                  <a:defRPr/>
                </a:pPr>
                <a:r>
                  <a:rPr lang="en-IN"/>
                  <a:t>Percent</a:t>
                </a:r>
              </a:p>
            </c:rich>
          </c:tx>
        </c:title>
        <c:numFmt formatCode="0" sourceLinked="0"/>
        <c:tickLblPos val="nextTo"/>
        <c:txPr>
          <a:bodyPr/>
          <a:lstStyle/>
          <a:p>
            <a:pPr>
              <a:defRPr b="1"/>
            </a:pPr>
            <a:endParaRPr lang="en-US"/>
          </a:p>
        </c:txPr>
        <c:crossAx val="14204108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10</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2012-03-31T14:47:00Z</dcterms:created>
  <dcterms:modified xsi:type="dcterms:W3CDTF">2012-03-31T16:07:00Z</dcterms:modified>
</cp:coreProperties>
</file>