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9CE" w:rsidRPr="000C2D1C" w:rsidRDefault="000C2D1C">
      <w:pPr>
        <w:rPr>
          <w:b/>
        </w:rPr>
      </w:pPr>
      <w:r w:rsidRPr="000C2D1C">
        <w:rPr>
          <w:b/>
        </w:rPr>
        <w:t>Case 7:</w:t>
      </w:r>
    </w:p>
    <w:p w:rsidR="000C2D1C" w:rsidRDefault="000C2D1C" w:rsidP="000C2D1C">
      <w:pPr>
        <w:pStyle w:val="ListParagraph"/>
        <w:numPr>
          <w:ilvl w:val="0"/>
          <w:numId w:val="1"/>
        </w:numPr>
      </w:pPr>
      <w:r>
        <w:t>Female buys more organic products</w:t>
      </w:r>
    </w:p>
    <w:p w:rsidR="009C583C" w:rsidRDefault="009C583C" w:rsidP="000C2D1C">
      <w:pPr>
        <w:pStyle w:val="ListParagraph"/>
        <w:numPr>
          <w:ilvl w:val="0"/>
          <w:numId w:val="1"/>
        </w:numPr>
      </w:pPr>
      <w:r>
        <w:t>The box plot shows that the younger generation seems to have the same income (or affluence grade) because the box is narrower</w:t>
      </w:r>
    </w:p>
    <w:p w:rsidR="009C583C" w:rsidRDefault="009C583C" w:rsidP="009C583C">
      <w:pPr>
        <w:pStyle w:val="ListParagraph"/>
      </w:pPr>
      <w:r>
        <w:t xml:space="preserve">The affluence grade box shows the older people are the outliers and they are richer than the </w:t>
      </w:r>
      <w:proofErr w:type="gramStart"/>
      <w:r>
        <w:t>youngers</w:t>
      </w:r>
      <w:proofErr w:type="gramEnd"/>
      <w:r>
        <w:t>.</w:t>
      </w:r>
    </w:p>
    <w:p w:rsidR="009C583C" w:rsidRDefault="00FA6370" w:rsidP="009C583C">
      <w:pPr>
        <w:pStyle w:val="ListParagraph"/>
      </w:pPr>
      <w:r>
        <w:t>Overall, the age of 40-60 with medium low affluence tend to buy organic products, while the older and poorer people tend to not buy organics.</w:t>
      </w:r>
    </w:p>
    <w:p w:rsidR="00FA6370" w:rsidRDefault="00FA6370" w:rsidP="009C583C">
      <w:pPr>
        <w:pStyle w:val="ListParagraph"/>
      </w:pPr>
    </w:p>
    <w:p w:rsidR="000C2D1C" w:rsidRDefault="009C583C" w:rsidP="008C1BAE">
      <w:r>
        <w:t xml:space="preserve">4. I performed analysis between Geographic regions and Organic </w:t>
      </w:r>
      <w:proofErr w:type="spellStart"/>
      <w:r>
        <w:t>puchases</w:t>
      </w:r>
      <w:proofErr w:type="spellEnd"/>
    </w:p>
    <w:p w:rsidR="009C583C" w:rsidRDefault="009C583C" w:rsidP="008C1BAE">
      <w:r>
        <w:t>The graph shows that people from South East region tend to buy organic products more than any other list regions.  The percentage is close to 40%.</w:t>
      </w:r>
    </w:p>
    <w:p w:rsidR="009C583C" w:rsidRDefault="009C583C" w:rsidP="008C1BAE">
      <w:r>
        <w:t>Excluding the unknown region, South West have the lowest percentage of organics purchases, which is 3%</w:t>
      </w:r>
    </w:p>
    <w:p w:rsidR="008C1BAE" w:rsidRDefault="00CC7EE6" w:rsidP="008C1BAE">
      <w:pPr>
        <w:rPr>
          <w:b/>
        </w:rPr>
      </w:pPr>
      <w:r w:rsidRPr="00CC7EE6">
        <w:rPr>
          <w:b/>
        </w:rPr>
        <w:t>Case 6:</w:t>
      </w:r>
    </w:p>
    <w:p w:rsidR="00CC7EE6" w:rsidRDefault="00CC7EE6" w:rsidP="00CC7EE6">
      <w:pPr>
        <w:pStyle w:val="ListParagraph"/>
        <w:numPr>
          <w:ilvl w:val="0"/>
          <w:numId w:val="4"/>
        </w:numPr>
      </w:pPr>
      <w:r>
        <w:t>There are 28442 call drops by Switch maker</w:t>
      </w:r>
    </w:p>
    <w:p w:rsidR="00CC7EE6" w:rsidRDefault="00CC7EE6" w:rsidP="00CC7EE6">
      <w:pPr>
        <w:pStyle w:val="ListParagraph"/>
        <w:numPr>
          <w:ilvl w:val="0"/>
          <w:numId w:val="4"/>
        </w:numPr>
      </w:pPr>
      <w:r>
        <w:t>Call drops spike very fast at the 16</w:t>
      </w:r>
      <w:r w:rsidRPr="00CC7EE6">
        <w:rPr>
          <w:vertAlign w:val="superscript"/>
        </w:rPr>
        <w:t>th</w:t>
      </w:r>
      <w:r>
        <w:t xml:space="preserve"> hour of the day, it continues to increase but gradually from the 17</w:t>
      </w:r>
      <w:r w:rsidRPr="00CC7EE6">
        <w:rPr>
          <w:vertAlign w:val="superscript"/>
        </w:rPr>
        <w:t>th</w:t>
      </w:r>
      <w:r>
        <w:t xml:space="preserve"> to 19</w:t>
      </w:r>
      <w:r w:rsidRPr="00CC7EE6">
        <w:rPr>
          <w:vertAlign w:val="superscript"/>
        </w:rPr>
        <w:t>th</w:t>
      </w:r>
      <w:r>
        <w:t>, then drop down suddenly and fast after the 19</w:t>
      </w:r>
      <w:r w:rsidRPr="00CC7EE6">
        <w:rPr>
          <w:vertAlign w:val="superscript"/>
        </w:rPr>
        <w:t>th</w:t>
      </w:r>
      <w:r>
        <w:t xml:space="preserve"> hour until the 20</w:t>
      </w:r>
      <w:r w:rsidRPr="00CC7EE6">
        <w:rPr>
          <w:vertAlign w:val="superscript"/>
        </w:rPr>
        <w:t>th</w:t>
      </w:r>
      <w:r>
        <w:t>.  After the 20</w:t>
      </w:r>
      <w:r w:rsidRPr="00CC7EE6">
        <w:rPr>
          <w:vertAlign w:val="superscript"/>
        </w:rPr>
        <w:t>th</w:t>
      </w:r>
      <w:r>
        <w:t>, the data appears to be plateau or tends to decrease very slowly.</w:t>
      </w:r>
    </w:p>
    <w:p w:rsidR="00CC7EE6" w:rsidRDefault="001759B4" w:rsidP="00CC7EE6">
      <w:pPr>
        <w:pStyle w:val="ListParagraph"/>
        <w:numPr>
          <w:ilvl w:val="0"/>
          <w:numId w:val="4"/>
        </w:numPr>
      </w:pPr>
      <w:proofErr w:type="spellStart"/>
      <w:r>
        <w:t>aPhone</w:t>
      </w:r>
      <w:proofErr w:type="spellEnd"/>
      <w:r>
        <w:t xml:space="preserve"> has the most call drops for </w:t>
      </w:r>
      <w:proofErr w:type="spellStart"/>
      <w:r>
        <w:t>aSwitch</w:t>
      </w:r>
      <w:proofErr w:type="spellEnd"/>
      <w:r>
        <w:t xml:space="preserve"> with Alpha carrier</w:t>
      </w:r>
    </w:p>
    <w:p w:rsidR="001759B4" w:rsidRDefault="001759B4" w:rsidP="001759B4">
      <w:pPr>
        <w:pStyle w:val="ListParagraph"/>
        <w:numPr>
          <w:ilvl w:val="0"/>
          <w:numId w:val="4"/>
        </w:numPr>
      </w:pPr>
      <w:r w:rsidRPr="001759B4">
        <w:t>Which phone models have the highest percentage of dropped calls?</w:t>
      </w:r>
      <w:r>
        <w:t xml:space="preserve">  -  </w:t>
      </w:r>
      <w:proofErr w:type="spellStart"/>
      <w:r>
        <w:t>hPhone</w:t>
      </w:r>
      <w:proofErr w:type="spellEnd"/>
      <w:r>
        <w:t xml:space="preserve">, S4 model, </w:t>
      </w:r>
      <w:proofErr w:type="spellStart"/>
      <w:r>
        <w:t>bSwitch</w:t>
      </w:r>
      <w:proofErr w:type="spellEnd"/>
    </w:p>
    <w:p w:rsidR="009F2A0C" w:rsidRDefault="009F2A0C" w:rsidP="001759B4">
      <w:pPr>
        <w:pStyle w:val="ListParagraph"/>
        <w:numPr>
          <w:ilvl w:val="0"/>
          <w:numId w:val="4"/>
        </w:numPr>
      </w:pPr>
      <w:r>
        <w:t>3G is the cell tech has the most call drop</w:t>
      </w:r>
    </w:p>
    <w:p w:rsidR="009F2A0C" w:rsidRDefault="009F2A0C" w:rsidP="009F2A0C">
      <w:pPr>
        <w:pStyle w:val="ListParagraph"/>
        <w:numPr>
          <w:ilvl w:val="0"/>
          <w:numId w:val="4"/>
        </w:numPr>
      </w:pPr>
      <w:r>
        <w:t>The 6</w:t>
      </w:r>
      <w:r w:rsidRPr="009F2A0C">
        <w:rPr>
          <w:vertAlign w:val="superscript"/>
        </w:rPr>
        <w:t>th</w:t>
      </w:r>
      <w:r>
        <w:t xml:space="preserve"> hour and the 18</w:t>
      </w:r>
      <w:r w:rsidRPr="009F2A0C">
        <w:rPr>
          <w:vertAlign w:val="superscript"/>
        </w:rPr>
        <w:t>th</w:t>
      </w:r>
      <w:r>
        <w:rPr>
          <w:vertAlign w:val="superscript"/>
        </w:rPr>
        <w:t xml:space="preserve"> </w:t>
      </w:r>
      <w:r>
        <w:t>hour are the times of day call drops spike</w:t>
      </w:r>
    </w:p>
    <w:p w:rsidR="009F2A0C" w:rsidRPr="00CC7EE6" w:rsidRDefault="009F2A0C" w:rsidP="009F2A0C">
      <w:pPr>
        <w:pStyle w:val="ListParagraph"/>
        <w:numPr>
          <w:ilvl w:val="0"/>
          <w:numId w:val="4"/>
        </w:numPr>
      </w:pPr>
      <w:r>
        <w:t xml:space="preserve">Do results differ by region? Yes, Great Lake and </w:t>
      </w:r>
      <w:proofErr w:type="spellStart"/>
      <w:r>
        <w:t>Mid Atlantic</w:t>
      </w:r>
      <w:proofErr w:type="spellEnd"/>
      <w:r>
        <w:t xml:space="preserve"> and South seem to have most call drops according to the graph</w:t>
      </w:r>
      <w:bookmarkStart w:id="0" w:name="_GoBack"/>
      <w:bookmarkEnd w:id="0"/>
    </w:p>
    <w:p w:rsidR="008C1BAE" w:rsidRDefault="008C1BAE" w:rsidP="008C1BAE"/>
    <w:p w:rsidR="008C1BAE" w:rsidRDefault="00E2176C" w:rsidP="00E2176C">
      <w:pPr>
        <w:rPr>
          <w:b/>
        </w:rPr>
      </w:pPr>
      <w:r>
        <w:rPr>
          <w:b/>
        </w:rPr>
        <w:t xml:space="preserve">Case 5: </w:t>
      </w:r>
    </w:p>
    <w:p w:rsidR="00E2176C" w:rsidRPr="00E2176C" w:rsidRDefault="00E2176C" w:rsidP="00E2176C">
      <w:r w:rsidRPr="00E2176C">
        <w:t xml:space="preserve"> The data plot appears to be horizontal pattern with upward trend, but closer inspection shows seasonality with upward trend.</w:t>
      </w:r>
    </w:p>
    <w:p w:rsidR="00E2176C" w:rsidRDefault="00E2176C" w:rsidP="00E2176C">
      <w:r w:rsidRPr="00E2176C">
        <w:t>According to the graph, the peaks appear to be at the first quarter of each year.  And the value increases year over year.  We can conclude that the data has seasonality and trend.</w:t>
      </w:r>
    </w:p>
    <w:p w:rsidR="00E2176C" w:rsidRDefault="00E2176C" w:rsidP="00E2176C">
      <w:r>
        <w:rPr>
          <w:noProof/>
        </w:rPr>
        <w:lastRenderedPageBreak/>
        <w:drawing>
          <wp:inline distT="0" distB="0" distL="0" distR="0" wp14:anchorId="715798C0" wp14:editId="3CE253AA">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2176C" w:rsidRDefault="00E2176C" w:rsidP="00E2176C"/>
    <w:p w:rsidR="00E2176C" w:rsidRDefault="00E2176C" w:rsidP="00E2176C">
      <w:r>
        <w:t>Based on the data plot and observation, I have performed 2 different forecasting models:  Model 1: Seasonality only and Model 2: Seasonality and Trend.</w:t>
      </w:r>
    </w:p>
    <w:p w:rsidR="00C21EFC" w:rsidRDefault="00C21EFC" w:rsidP="00E2176C">
      <w:r w:rsidRPr="00C21EFC">
        <w:t>To find the most optimal prediction model, mean square error was used. Mean square error is a common forecasting method used in supply chain. The model with the lowest MSE (Mean square error) is the best choice.</w:t>
      </w:r>
    </w:p>
    <w:p w:rsidR="00E2176C" w:rsidRPr="00E2176C" w:rsidRDefault="00E2176C" w:rsidP="00E2176C">
      <w:pPr>
        <w:rPr>
          <w:rFonts w:ascii="Calibri" w:eastAsia="Times New Roman" w:hAnsi="Calibri" w:cs="Times New Roman"/>
          <w:color w:val="000000"/>
        </w:rPr>
      </w:pPr>
      <w:r>
        <w:t xml:space="preserve">MSE 1 (Seasonality) = </w:t>
      </w:r>
      <w:r w:rsidRPr="00E2176C">
        <w:rPr>
          <w:rFonts w:ascii="Calibri" w:eastAsia="Times New Roman" w:hAnsi="Calibri" w:cs="Times New Roman"/>
          <w:color w:val="000000"/>
        </w:rPr>
        <w:t>2.166667</w:t>
      </w:r>
    </w:p>
    <w:p w:rsidR="00E2176C" w:rsidRPr="00E2176C" w:rsidRDefault="00E2176C" w:rsidP="00E2176C">
      <w:pPr>
        <w:rPr>
          <w:rFonts w:ascii="Calibri" w:eastAsia="Times New Roman" w:hAnsi="Calibri" w:cs="Times New Roman"/>
          <w:color w:val="000000"/>
        </w:rPr>
      </w:pPr>
      <w:r>
        <w:t xml:space="preserve">MSE 2 (Seasonality and Trend) = </w:t>
      </w:r>
      <w:r w:rsidRPr="00E2176C">
        <w:rPr>
          <w:rFonts w:ascii="Calibri" w:eastAsia="Times New Roman" w:hAnsi="Calibri" w:cs="Times New Roman"/>
          <w:color w:val="000000"/>
        </w:rPr>
        <w:t>0.125</w:t>
      </w:r>
    </w:p>
    <w:p w:rsidR="00E2176C" w:rsidRDefault="00C21EFC" w:rsidP="00E2176C">
      <w:r>
        <w:t>S</w:t>
      </w:r>
      <w:r w:rsidR="00E2176C">
        <w:t xml:space="preserve">ince MSE </w:t>
      </w:r>
      <w:r>
        <w:t>2 &lt; MSE 1, we conclude that Model 2 (Seasonality and Trend) is the optimal forecasting method in this case.  Also, the findings and the predicted data graph demonstrated the similarity with the actual data graph (see predicted graph below)</w:t>
      </w:r>
    </w:p>
    <w:p w:rsidR="00C21EFC" w:rsidRPr="00E2176C" w:rsidRDefault="00C21EFC" w:rsidP="00E2176C">
      <w:r>
        <w:rPr>
          <w:noProof/>
        </w:rPr>
        <w:lastRenderedPageBreak/>
        <w:drawing>
          <wp:inline distT="0" distB="0" distL="0" distR="0" wp14:anchorId="2E07FE0D" wp14:editId="2C15ECD3">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2176C" w:rsidRDefault="00E2176C" w:rsidP="00E2176C"/>
    <w:p w:rsidR="00C21EFC" w:rsidRPr="00E2176C" w:rsidRDefault="00C21EFC" w:rsidP="00E2176C"/>
    <w:sectPr w:rsidR="00C21EFC" w:rsidRPr="00E21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1799C"/>
    <w:multiLevelType w:val="hybridMultilevel"/>
    <w:tmpl w:val="60C03F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4A4F9F"/>
    <w:multiLevelType w:val="hybridMultilevel"/>
    <w:tmpl w:val="11D206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DD778B"/>
    <w:multiLevelType w:val="hybridMultilevel"/>
    <w:tmpl w:val="BE007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7A172B"/>
    <w:multiLevelType w:val="hybridMultilevel"/>
    <w:tmpl w:val="E71484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0A4"/>
    <w:rsid w:val="00021068"/>
    <w:rsid w:val="00047AAC"/>
    <w:rsid w:val="00053D35"/>
    <w:rsid w:val="0007728A"/>
    <w:rsid w:val="0009786C"/>
    <w:rsid w:val="000B0412"/>
    <w:rsid w:val="000C1AF5"/>
    <w:rsid w:val="000C2D1C"/>
    <w:rsid w:val="000C45EF"/>
    <w:rsid w:val="000D4E1F"/>
    <w:rsid w:val="000E255D"/>
    <w:rsid w:val="001561BF"/>
    <w:rsid w:val="001655AC"/>
    <w:rsid w:val="0017198C"/>
    <w:rsid w:val="00172EFA"/>
    <w:rsid w:val="001759B4"/>
    <w:rsid w:val="0018201D"/>
    <w:rsid w:val="001863D7"/>
    <w:rsid w:val="001A2207"/>
    <w:rsid w:val="001E07D7"/>
    <w:rsid w:val="001F37C7"/>
    <w:rsid w:val="001F5E49"/>
    <w:rsid w:val="001F7666"/>
    <w:rsid w:val="00216F1B"/>
    <w:rsid w:val="00225656"/>
    <w:rsid w:val="002259CE"/>
    <w:rsid w:val="00245AB2"/>
    <w:rsid w:val="00272B82"/>
    <w:rsid w:val="00274CE9"/>
    <w:rsid w:val="002755C5"/>
    <w:rsid w:val="00281A56"/>
    <w:rsid w:val="002912E3"/>
    <w:rsid w:val="002B7D9E"/>
    <w:rsid w:val="00320E51"/>
    <w:rsid w:val="00335323"/>
    <w:rsid w:val="003427EA"/>
    <w:rsid w:val="003465C3"/>
    <w:rsid w:val="00354BA6"/>
    <w:rsid w:val="00356733"/>
    <w:rsid w:val="00376F52"/>
    <w:rsid w:val="00395B9D"/>
    <w:rsid w:val="003A0BA5"/>
    <w:rsid w:val="003C16BF"/>
    <w:rsid w:val="003F2BDB"/>
    <w:rsid w:val="00401D16"/>
    <w:rsid w:val="00415FB6"/>
    <w:rsid w:val="0042494D"/>
    <w:rsid w:val="00426235"/>
    <w:rsid w:val="00426270"/>
    <w:rsid w:val="00456F04"/>
    <w:rsid w:val="004578B6"/>
    <w:rsid w:val="00475D84"/>
    <w:rsid w:val="00495CC2"/>
    <w:rsid w:val="004A0B03"/>
    <w:rsid w:val="00501D5C"/>
    <w:rsid w:val="00501F97"/>
    <w:rsid w:val="005134F6"/>
    <w:rsid w:val="00514964"/>
    <w:rsid w:val="00523738"/>
    <w:rsid w:val="00566876"/>
    <w:rsid w:val="00597C0B"/>
    <w:rsid w:val="005A3E63"/>
    <w:rsid w:val="005C4625"/>
    <w:rsid w:val="005D456B"/>
    <w:rsid w:val="0068640F"/>
    <w:rsid w:val="006D1A95"/>
    <w:rsid w:val="006D1D85"/>
    <w:rsid w:val="006D44D1"/>
    <w:rsid w:val="006E503C"/>
    <w:rsid w:val="006F7F88"/>
    <w:rsid w:val="007121F6"/>
    <w:rsid w:val="00737B3F"/>
    <w:rsid w:val="00742DE2"/>
    <w:rsid w:val="00754245"/>
    <w:rsid w:val="00754A81"/>
    <w:rsid w:val="00760D42"/>
    <w:rsid w:val="00767EFF"/>
    <w:rsid w:val="007813BA"/>
    <w:rsid w:val="00781EC2"/>
    <w:rsid w:val="00792438"/>
    <w:rsid w:val="00792601"/>
    <w:rsid w:val="007C671A"/>
    <w:rsid w:val="007E091F"/>
    <w:rsid w:val="007E0F3B"/>
    <w:rsid w:val="007E7658"/>
    <w:rsid w:val="007F5B05"/>
    <w:rsid w:val="0081474F"/>
    <w:rsid w:val="0083399A"/>
    <w:rsid w:val="00837D48"/>
    <w:rsid w:val="008422C6"/>
    <w:rsid w:val="00843FFE"/>
    <w:rsid w:val="00863C1F"/>
    <w:rsid w:val="00864416"/>
    <w:rsid w:val="008750DE"/>
    <w:rsid w:val="00886889"/>
    <w:rsid w:val="008B10A4"/>
    <w:rsid w:val="008B726E"/>
    <w:rsid w:val="008C1BAE"/>
    <w:rsid w:val="008D45ED"/>
    <w:rsid w:val="00920399"/>
    <w:rsid w:val="00923076"/>
    <w:rsid w:val="00923C1C"/>
    <w:rsid w:val="0097075D"/>
    <w:rsid w:val="00982FEB"/>
    <w:rsid w:val="00993E9A"/>
    <w:rsid w:val="009A3F22"/>
    <w:rsid w:val="009B61A1"/>
    <w:rsid w:val="009C583C"/>
    <w:rsid w:val="009D25F6"/>
    <w:rsid w:val="009E71D8"/>
    <w:rsid w:val="009F2A0C"/>
    <w:rsid w:val="009F3E0D"/>
    <w:rsid w:val="00A01DA0"/>
    <w:rsid w:val="00A12C38"/>
    <w:rsid w:val="00A233A4"/>
    <w:rsid w:val="00A35911"/>
    <w:rsid w:val="00A550BE"/>
    <w:rsid w:val="00A57D65"/>
    <w:rsid w:val="00AA04B6"/>
    <w:rsid w:val="00AA3E98"/>
    <w:rsid w:val="00AC7FDF"/>
    <w:rsid w:val="00AD0B15"/>
    <w:rsid w:val="00B26141"/>
    <w:rsid w:val="00B3047B"/>
    <w:rsid w:val="00B43892"/>
    <w:rsid w:val="00B54A7E"/>
    <w:rsid w:val="00B72DAC"/>
    <w:rsid w:val="00B75E67"/>
    <w:rsid w:val="00B762C2"/>
    <w:rsid w:val="00B77E75"/>
    <w:rsid w:val="00B93FB9"/>
    <w:rsid w:val="00BC0C82"/>
    <w:rsid w:val="00BC1AA2"/>
    <w:rsid w:val="00BC4AB7"/>
    <w:rsid w:val="00BD305B"/>
    <w:rsid w:val="00C03BC8"/>
    <w:rsid w:val="00C04AE2"/>
    <w:rsid w:val="00C051D3"/>
    <w:rsid w:val="00C13200"/>
    <w:rsid w:val="00C21EFC"/>
    <w:rsid w:val="00C22D66"/>
    <w:rsid w:val="00C24107"/>
    <w:rsid w:val="00C57050"/>
    <w:rsid w:val="00CA7579"/>
    <w:rsid w:val="00CB4B69"/>
    <w:rsid w:val="00CC7EE6"/>
    <w:rsid w:val="00D07287"/>
    <w:rsid w:val="00D12AF5"/>
    <w:rsid w:val="00D27F08"/>
    <w:rsid w:val="00D30CEC"/>
    <w:rsid w:val="00D7439A"/>
    <w:rsid w:val="00DD1C37"/>
    <w:rsid w:val="00DF1D78"/>
    <w:rsid w:val="00E2176C"/>
    <w:rsid w:val="00E22127"/>
    <w:rsid w:val="00E42125"/>
    <w:rsid w:val="00E45D71"/>
    <w:rsid w:val="00E45FE3"/>
    <w:rsid w:val="00E602D0"/>
    <w:rsid w:val="00E619CA"/>
    <w:rsid w:val="00E61BCB"/>
    <w:rsid w:val="00E65EAB"/>
    <w:rsid w:val="00E70BB9"/>
    <w:rsid w:val="00E7207C"/>
    <w:rsid w:val="00E742A1"/>
    <w:rsid w:val="00EB4AE6"/>
    <w:rsid w:val="00EE010F"/>
    <w:rsid w:val="00EF02D1"/>
    <w:rsid w:val="00EF69E1"/>
    <w:rsid w:val="00F031C8"/>
    <w:rsid w:val="00F07548"/>
    <w:rsid w:val="00F50F40"/>
    <w:rsid w:val="00F83FBA"/>
    <w:rsid w:val="00F92645"/>
    <w:rsid w:val="00FA1CCB"/>
    <w:rsid w:val="00FA6370"/>
    <w:rsid w:val="00FB6B4D"/>
    <w:rsid w:val="00FD4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0F510-9498-483D-AF6F-3F5CD9A2F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283861">
      <w:bodyDiv w:val="1"/>
      <w:marLeft w:val="0"/>
      <w:marRight w:val="0"/>
      <w:marTop w:val="0"/>
      <w:marBottom w:val="0"/>
      <w:divBdr>
        <w:top w:val="none" w:sz="0" w:space="0" w:color="auto"/>
        <w:left w:val="none" w:sz="0" w:space="0" w:color="auto"/>
        <w:bottom w:val="none" w:sz="0" w:space="0" w:color="auto"/>
        <w:right w:val="none" w:sz="0" w:space="0" w:color="auto"/>
      </w:divBdr>
    </w:div>
    <w:div w:id="1529221594">
      <w:bodyDiv w:val="1"/>
      <w:marLeft w:val="0"/>
      <w:marRight w:val="0"/>
      <w:marTop w:val="0"/>
      <w:marBottom w:val="0"/>
      <w:divBdr>
        <w:top w:val="none" w:sz="0" w:space="0" w:color="auto"/>
        <w:left w:val="none" w:sz="0" w:space="0" w:color="auto"/>
        <w:bottom w:val="none" w:sz="0" w:space="0" w:color="auto"/>
        <w:right w:val="none" w:sz="0" w:space="0" w:color="auto"/>
      </w:divBdr>
    </w:div>
    <w:div w:id="194009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ntern%20Three\Documents\Thi%20Duong\Fall%2015\BUS%20443H\HW\Midterm\Duong_Thi_Midter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ntern%20Three\Documents\Thi%20Duong\Fall%2015\BUS%20443H\HW\Midterm\Duong_Thi_Midterm.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rgbClr val="FFFF00"/>
                </a:solidFill>
                <a:latin typeface="+mn-lt"/>
                <a:ea typeface="+mn-ea"/>
                <a:cs typeface="+mn-cs"/>
              </a:defRPr>
            </a:pPr>
            <a:r>
              <a:rPr lang="en-US"/>
              <a:t>Actual Data in 3 years by quarter</a:t>
            </a:r>
          </a:p>
        </c:rich>
      </c:tx>
      <c:overlay val="0"/>
      <c:spPr>
        <a:noFill/>
        <a:ln>
          <a:noFill/>
        </a:ln>
        <a:effectLst/>
      </c:spPr>
      <c:txPr>
        <a:bodyPr rot="0" spcFirstLastPara="1" vertOverflow="ellipsis" vert="horz" wrap="square" anchor="ctr" anchorCtr="1"/>
        <a:lstStyle/>
        <a:p>
          <a:pPr>
            <a:defRPr sz="1400" b="1" i="0" u="none" strike="noStrike" kern="1200" cap="none" baseline="0">
              <a:solidFill>
                <a:srgbClr val="FFFF00"/>
              </a:solidFill>
              <a:latin typeface="+mn-lt"/>
              <a:ea typeface="+mn-ea"/>
              <a:cs typeface="+mn-cs"/>
            </a:defRPr>
          </a:pPr>
          <a:endParaRPr lang="en-US"/>
        </a:p>
      </c:txPr>
    </c:title>
    <c:autoTitleDeleted val="0"/>
    <c:plotArea>
      <c:layout/>
      <c:scatterChart>
        <c:scatterStyle val="lineMarker"/>
        <c:varyColors val="0"/>
        <c:ser>
          <c:idx val="0"/>
          <c:order val="0"/>
          <c:tx>
            <c:strRef>
              <c:f>'Case 5a'!$D$1</c:f>
              <c:strCache>
                <c:ptCount val="1"/>
                <c:pt idx="0">
                  <c:v>Data</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linear"/>
            <c:dispRSqr val="0"/>
            <c:dispEq val="0"/>
          </c:trendline>
          <c:yVal>
            <c:numRef>
              <c:f>'Case 5a'!$D$2:$D$13</c:f>
              <c:numCache>
                <c:formatCode>General</c:formatCode>
                <c:ptCount val="12"/>
                <c:pt idx="0">
                  <c:v>4</c:v>
                </c:pt>
                <c:pt idx="1">
                  <c:v>2</c:v>
                </c:pt>
                <c:pt idx="2">
                  <c:v>3</c:v>
                </c:pt>
                <c:pt idx="3">
                  <c:v>5</c:v>
                </c:pt>
                <c:pt idx="4">
                  <c:v>6</c:v>
                </c:pt>
                <c:pt idx="5">
                  <c:v>3</c:v>
                </c:pt>
                <c:pt idx="6">
                  <c:v>5</c:v>
                </c:pt>
                <c:pt idx="7">
                  <c:v>7</c:v>
                </c:pt>
                <c:pt idx="8">
                  <c:v>8</c:v>
                </c:pt>
                <c:pt idx="9">
                  <c:v>6</c:v>
                </c:pt>
                <c:pt idx="10">
                  <c:v>6</c:v>
                </c:pt>
                <c:pt idx="11">
                  <c:v>8</c:v>
                </c:pt>
              </c:numCache>
            </c:numRef>
          </c:yVal>
          <c:smooth val="0"/>
        </c:ser>
        <c:dLbls>
          <c:showLegendKey val="0"/>
          <c:showVal val="0"/>
          <c:showCatName val="0"/>
          <c:showSerName val="0"/>
          <c:showPercent val="0"/>
          <c:showBubbleSize val="0"/>
        </c:dLbls>
        <c:axId val="34725856"/>
        <c:axId val="34727536"/>
      </c:scatterChart>
      <c:valAx>
        <c:axId val="34725856"/>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1000" b="1" i="0" u="none" strike="noStrike" kern="1200" baseline="0">
                    <a:solidFill>
                      <a:srgbClr val="FFFF00"/>
                    </a:solidFill>
                    <a:latin typeface="+mn-lt"/>
                    <a:ea typeface="+mn-ea"/>
                    <a:cs typeface="+mn-cs"/>
                  </a:defRPr>
                </a:pPr>
                <a:r>
                  <a:rPr lang="en-US" sz="1000">
                    <a:solidFill>
                      <a:srgbClr val="FFFF00"/>
                    </a:solidFill>
                  </a:rPr>
                  <a:t>Quarters</a:t>
                </a:r>
                <a:r>
                  <a:rPr lang="en-US" sz="1000" baseline="0">
                    <a:solidFill>
                      <a:srgbClr val="FFFF00"/>
                    </a:solidFill>
                  </a:rPr>
                  <a:t> </a:t>
                </a:r>
                <a:r>
                  <a:rPr lang="en-US" sz="1000">
                    <a:solidFill>
                      <a:srgbClr val="FFFF00"/>
                    </a:solidFill>
                  </a:rPr>
                  <a:t>in 3 years</a:t>
                </a:r>
              </a:p>
            </c:rich>
          </c:tx>
          <c:layout>
            <c:manualLayout>
              <c:xMode val="edge"/>
              <c:yMode val="edge"/>
              <c:x val="0.40140157480314959"/>
              <c:y val="0.8982174103237095"/>
            </c:manualLayout>
          </c:layout>
          <c:overlay val="0"/>
          <c:spPr>
            <a:noFill/>
            <a:ln>
              <a:noFill/>
            </a:ln>
            <a:effectLst/>
          </c:spPr>
          <c:txPr>
            <a:bodyPr rot="0" spcFirstLastPara="1" vertOverflow="ellipsis" vert="horz" wrap="square" anchor="ctr" anchorCtr="1"/>
            <a:lstStyle/>
            <a:p>
              <a:pPr>
                <a:defRPr sz="1000" b="1" i="0" u="none" strike="noStrike" kern="1200" baseline="0">
                  <a:solidFill>
                    <a:srgbClr val="FFFF00"/>
                  </a:solidFill>
                  <a:latin typeface="+mn-lt"/>
                  <a:ea typeface="+mn-ea"/>
                  <a:cs typeface="+mn-cs"/>
                </a:defRPr>
              </a:pPr>
              <a:endParaRPr lang="en-US"/>
            </a:p>
          </c:txPr>
        </c:title>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4727536"/>
        <c:crosses val="autoZero"/>
        <c:crossBetween val="midCat"/>
      </c:valAx>
      <c:valAx>
        <c:axId val="34727536"/>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000" b="1" i="0" u="none" strike="noStrike" kern="1200" baseline="0">
                    <a:solidFill>
                      <a:srgbClr val="FFFF00"/>
                    </a:solidFill>
                    <a:latin typeface="+mn-lt"/>
                    <a:ea typeface="+mn-ea"/>
                    <a:cs typeface="+mn-cs"/>
                  </a:defRPr>
                </a:pPr>
                <a:r>
                  <a:rPr lang="en-US" sz="1000">
                    <a:solidFill>
                      <a:srgbClr val="FFFF00"/>
                    </a:solidFill>
                  </a:rPr>
                  <a:t>Actual value</a:t>
                </a:r>
              </a:p>
            </c:rich>
          </c:tx>
          <c:layout>
            <c:manualLayout>
              <c:xMode val="edge"/>
              <c:yMode val="edge"/>
              <c:x val="2.2222222222222223E-2"/>
              <c:y val="0.39804790026246717"/>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rgbClr val="FFFF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4725856"/>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1" i="0" u="none" strike="noStrike" kern="1200" cap="none" baseline="0">
                <a:solidFill>
                  <a:schemeClr val="accent2"/>
                </a:solidFill>
                <a:latin typeface="+mn-lt"/>
                <a:ea typeface="+mn-ea"/>
                <a:cs typeface="+mn-cs"/>
              </a:defRPr>
            </a:pPr>
            <a:r>
              <a:rPr lang="en-US">
                <a:solidFill>
                  <a:schemeClr val="accent2"/>
                </a:solidFill>
              </a:rPr>
              <a:t>Predicted Data into 4th year by quarter</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accent2"/>
              </a:solidFill>
              <a:latin typeface="+mn-lt"/>
              <a:ea typeface="+mn-ea"/>
              <a:cs typeface="+mn-cs"/>
            </a:defRPr>
          </a:pPr>
          <a:endParaRPr lang="en-US"/>
        </a:p>
      </c:txPr>
    </c:title>
    <c:autoTitleDeleted val="0"/>
    <c:plotArea>
      <c:layout/>
      <c:scatterChart>
        <c:scatterStyle val="lineMarker"/>
        <c:varyColors val="0"/>
        <c:ser>
          <c:idx val="0"/>
          <c:order val="0"/>
          <c:tx>
            <c:strRef>
              <c:f>'C5 Seasonality and Trend'!$H$1</c:f>
              <c:strCache>
                <c:ptCount val="1"/>
                <c:pt idx="0">
                  <c:v>Predictions (y-hat)</c:v>
                </c:pt>
              </c:strCache>
            </c:strRef>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trendline>
            <c:spPr>
              <a:ln w="25400" cap="rnd">
                <a:solidFill>
                  <a:schemeClr val="accent4">
                    <a:alpha val="50000"/>
                  </a:schemeClr>
                </a:solidFill>
              </a:ln>
              <a:effectLst/>
            </c:spPr>
            <c:trendlineType val="linear"/>
            <c:dispRSqr val="0"/>
            <c:dispEq val="0"/>
          </c:trendline>
          <c:xVal>
            <c:numRef>
              <c:f>'C5 Seasonality and Trend'!$C$2:$C$17</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'C5 Seasonality and Trend'!$H$2:$H$17</c:f>
              <c:numCache>
                <c:formatCode>0.00</c:formatCode>
                <c:ptCount val="16"/>
                <c:pt idx="0">
                  <c:v>4.2499999999999991</c:v>
                </c:pt>
                <c:pt idx="1">
                  <c:v>1.9166666666666661</c:v>
                </c:pt>
                <c:pt idx="2">
                  <c:v>2.916666666666667</c:v>
                </c:pt>
                <c:pt idx="3">
                  <c:v>4.9166666666666661</c:v>
                </c:pt>
                <c:pt idx="4">
                  <c:v>5.9999999999999991</c:v>
                </c:pt>
                <c:pt idx="5">
                  <c:v>3.6666666666666661</c:v>
                </c:pt>
                <c:pt idx="6">
                  <c:v>4.666666666666667</c:v>
                </c:pt>
                <c:pt idx="7">
                  <c:v>6.6666666666666661</c:v>
                </c:pt>
                <c:pt idx="8">
                  <c:v>7.7499999999999991</c:v>
                </c:pt>
                <c:pt idx="9">
                  <c:v>5.4166666666666661</c:v>
                </c:pt>
                <c:pt idx="10">
                  <c:v>6.416666666666667</c:v>
                </c:pt>
                <c:pt idx="11">
                  <c:v>8.4166666666666661</c:v>
                </c:pt>
                <c:pt idx="12">
                  <c:v>9.5</c:v>
                </c:pt>
                <c:pt idx="13">
                  <c:v>7.1666666666666661</c:v>
                </c:pt>
                <c:pt idx="14">
                  <c:v>8.1666666666666679</c:v>
                </c:pt>
                <c:pt idx="15">
                  <c:v>10.166666666666666</c:v>
                </c:pt>
              </c:numCache>
            </c:numRef>
          </c:yVal>
          <c:smooth val="0"/>
        </c:ser>
        <c:dLbls>
          <c:showLegendKey val="0"/>
          <c:showVal val="0"/>
          <c:showCatName val="0"/>
          <c:showSerName val="0"/>
          <c:showPercent val="0"/>
          <c:showBubbleSize val="0"/>
        </c:dLbls>
        <c:axId val="261363600"/>
        <c:axId val="272951952"/>
      </c:scatterChart>
      <c:valAx>
        <c:axId val="261363600"/>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Quarter in 4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72951952"/>
        <c:crosses val="autoZero"/>
        <c:crossBetween val="midCat"/>
      </c:valAx>
      <c:valAx>
        <c:axId val="272951952"/>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Predicted</a:t>
                </a:r>
                <a:r>
                  <a:rPr lang="en-US" baseline="0"/>
                  <a:t> Value</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61363600"/>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 Three</dc:creator>
  <cp:keywords/>
  <dc:description/>
  <cp:lastModifiedBy>Intern Three</cp:lastModifiedBy>
  <cp:revision>5</cp:revision>
  <dcterms:created xsi:type="dcterms:W3CDTF">2015-10-17T06:45:00Z</dcterms:created>
  <dcterms:modified xsi:type="dcterms:W3CDTF">2015-10-17T19:07:00Z</dcterms:modified>
</cp:coreProperties>
</file>