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A7CF9" w:rsidRDefault="00000000">
      <w:pPr>
        <w:pStyle w:val="Heading1"/>
        <w:keepNext w:val="0"/>
        <w:keepLines w:val="0"/>
        <w:spacing w:before="0" w:after="0"/>
        <w:rPr>
          <w:b/>
          <w:bCs/>
          <w:color w:val="1F1F1F"/>
          <w:sz w:val="46"/>
          <w:szCs w:val="46"/>
        </w:rPr>
      </w:pPr>
      <w:bookmarkStart w:id="0" w:name="_knvl2byvjdby" w:colFirst="0" w:colLast="0"/>
      <w:bookmarkEnd w:id="0"/>
      <w:r>
        <w:rPr>
          <w:b/>
          <w:bCs/>
          <w:color w:val="1F1F1F"/>
          <w:sz w:val="46"/>
          <w:szCs w:val="46"/>
        </w:rPr>
        <w:t>ROTEIRO PARA TELEPROMPTER &amp; GRAVAÇÃO DE VÍDEO (VERSÃO AUDITADA)</w:t>
      </w:r>
    </w:p>
    <w:p w14:paraId="00000002" w14:textId="77777777" w:rsidR="00FA7CF9" w:rsidRDefault="00000000">
      <w:pPr>
        <w:rPr>
          <w:color w:val="1F1F1F"/>
        </w:rPr>
      </w:pPr>
      <w:r>
        <w:rPr>
          <w:b/>
          <w:bCs/>
          <w:color w:val="1F1F1F"/>
        </w:rPr>
        <w:t>Apresentador:</w:t>
      </w:r>
      <w:r>
        <w:rPr>
          <w:color w:val="1F1F1F"/>
        </w:rPr>
        <w:t xml:space="preserve"> Thiago da Silva</w:t>
      </w:r>
    </w:p>
    <w:p w14:paraId="00000003" w14:textId="77777777" w:rsidR="00FA7CF9" w:rsidRDefault="00000000">
      <w:pPr>
        <w:rPr>
          <w:color w:val="1F1F1F"/>
        </w:rPr>
      </w:pPr>
      <w:r>
        <w:rPr>
          <w:b/>
          <w:bCs/>
          <w:color w:val="1F1F1F"/>
        </w:rPr>
        <w:t>Projeto:</w:t>
      </w:r>
      <w:r>
        <w:rPr>
          <w:color w:val="1F1F1F"/>
        </w:rPr>
        <w:t xml:space="preserve"> Diagnóstico de Performance de Crédito e Reavaliação de Escala (</w:t>
      </w:r>
      <w:proofErr w:type="spellStart"/>
      <w:r>
        <w:rPr>
          <w:color w:val="1F1F1F"/>
        </w:rPr>
        <w:t>Happen</w:t>
      </w:r>
      <w:proofErr w:type="spellEnd"/>
      <w:r>
        <w:rPr>
          <w:color w:val="1F1F1F"/>
        </w:rPr>
        <w:t xml:space="preserve"> Bank / </w:t>
      </w:r>
      <w:proofErr w:type="spellStart"/>
      <w:r>
        <w:rPr>
          <w:color w:val="1F1F1F"/>
        </w:rPr>
        <w:t>Lending</w:t>
      </w:r>
      <w:proofErr w:type="spellEnd"/>
      <w:r>
        <w:rPr>
          <w:color w:val="1F1F1F"/>
        </w:rPr>
        <w:t xml:space="preserve"> Club)</w:t>
      </w:r>
    </w:p>
    <w:p w14:paraId="00000004" w14:textId="77777777" w:rsidR="00FA7CF9" w:rsidRDefault="00000000">
      <w:pPr>
        <w:rPr>
          <w:color w:val="1F1F1F"/>
        </w:rPr>
      </w:pPr>
      <w:r>
        <w:rPr>
          <w:b/>
          <w:bCs/>
          <w:color w:val="1F1F1F"/>
        </w:rPr>
        <w:t>Tempo Alvo:</w:t>
      </w:r>
      <w:r>
        <w:rPr>
          <w:color w:val="1F1F1F"/>
        </w:rPr>
        <w:t xml:space="preserve"> ~11:00 a 12:00 minutos</w:t>
      </w:r>
    </w:p>
    <w:p w14:paraId="00000005" w14:textId="77777777" w:rsidR="00FA7CF9" w:rsidRDefault="00000000">
      <w:pPr>
        <w:pStyle w:val="Heading3"/>
        <w:keepNext w:val="0"/>
        <w:keepLines w:val="0"/>
        <w:spacing w:before="0" w:after="0"/>
        <w:rPr>
          <w:b/>
          <w:bCs/>
          <w:color w:val="1F1F1F"/>
          <w:sz w:val="26"/>
          <w:szCs w:val="26"/>
        </w:rPr>
      </w:pPr>
      <w:bookmarkStart w:id="1" w:name="_4dzeyba1ejmn" w:colFirst="0" w:colLast="0"/>
      <w:bookmarkEnd w:id="1"/>
      <w:r>
        <w:rPr>
          <w:b/>
          <w:bCs/>
          <w:color w:val="1F1F1F"/>
          <w:sz w:val="26"/>
          <w:szCs w:val="26"/>
        </w:rPr>
        <w:t>SLIDE 01: CAPA EXECUTIVA &amp; ROBUSTEZ</w:t>
      </w:r>
    </w:p>
    <w:p w14:paraId="00000006" w14:textId="77777777" w:rsidR="00FA7CF9" w:rsidRDefault="00000000">
      <w:pPr>
        <w:rPr>
          <w:color w:val="188038"/>
          <w:sz w:val="23"/>
          <w:szCs w:val="23"/>
          <w:shd w:val="clear" w:color="auto" w:fill="F2F0F0"/>
        </w:rPr>
      </w:pPr>
      <w:r>
        <w:rPr>
          <w:color w:val="188038"/>
          <w:sz w:val="23"/>
          <w:szCs w:val="23"/>
          <w:shd w:val="clear" w:color="auto" w:fill="F2F0F0"/>
        </w:rPr>
        <w:br/>
        <w:t>[CÂMERA EM TELA / CAMEO ATIVO — OLHAR FIXO NA LENTE]</w:t>
      </w:r>
    </w:p>
    <w:p w14:paraId="00000007" w14:textId="77777777" w:rsidR="00FA7CF9" w:rsidRDefault="00000000">
      <w:pPr>
        <w:rPr>
          <w:color w:val="188038"/>
          <w:sz w:val="23"/>
          <w:szCs w:val="23"/>
          <w:shd w:val="clear" w:color="auto" w:fill="F2F0F0"/>
        </w:rPr>
      </w:pPr>
      <w:r>
        <w:rPr>
          <w:color w:val="188038"/>
          <w:sz w:val="23"/>
          <w:szCs w:val="23"/>
          <w:shd w:val="clear" w:color="auto" w:fill="F2F0F0"/>
        </w:rPr>
        <w:t>[ENTONAÇÃO: GRAVE, SEGURA E DE ALTA AUTORIDADE]</w:t>
      </w:r>
    </w:p>
    <w:p w14:paraId="00000008" w14:textId="01514F25" w:rsidR="00FA7CF9" w:rsidRDefault="00000000">
      <w:pPr>
        <w:rPr>
          <w:color w:val="1F1F1F"/>
        </w:rPr>
      </w:pPr>
      <w:r>
        <w:rPr>
          <w:color w:val="1F1F1F"/>
        </w:rPr>
        <w:br/>
        <w:t xml:space="preserve">"Olá a todos. Sou Thiago da Silva e apresento hoje o diagnóstico analítico de performance de crédito da carteira do </w:t>
      </w:r>
      <w:proofErr w:type="spellStart"/>
      <w:r w:rsidR="007E2F23">
        <w:rPr>
          <w:color w:val="1F1F1F"/>
        </w:rPr>
        <w:t>LendingClub</w:t>
      </w:r>
      <w:proofErr w:type="spellEnd"/>
      <w:r w:rsidR="007E2F23">
        <w:rPr>
          <w:color w:val="1F1F1F"/>
        </w:rPr>
        <w:t xml:space="preserve">, atualmente </w:t>
      </w:r>
      <w:proofErr w:type="spellStart"/>
      <w:r w:rsidR="007E2F23">
        <w:rPr>
          <w:color w:val="1F1F1F"/>
        </w:rPr>
        <w:t>HappenBank</w:t>
      </w:r>
      <w:proofErr w:type="spellEnd"/>
      <w:r>
        <w:rPr>
          <w:color w:val="1F1F1F"/>
        </w:rPr>
        <w:t xml:space="preserve">, disponibilizada no </w:t>
      </w:r>
      <w:proofErr w:type="spellStart"/>
      <w:r>
        <w:rPr>
          <w:color w:val="1F1F1F"/>
        </w:rPr>
        <w:t>Kaggle</w:t>
      </w:r>
      <w:proofErr w:type="spellEnd"/>
      <w:r>
        <w:rPr>
          <w:color w:val="1F1F1F"/>
        </w:rPr>
        <w:t>.</w:t>
      </w:r>
    </w:p>
    <w:p w14:paraId="00000009" w14:textId="77777777" w:rsidR="00FA7CF9" w:rsidRDefault="00000000">
      <w:pPr>
        <w:rPr>
          <w:color w:val="1F1F1F"/>
        </w:rPr>
      </w:pPr>
      <w:r>
        <w:rPr>
          <w:color w:val="1F1F1F"/>
        </w:rPr>
        <w:t xml:space="preserve">Gostaria de iniciar destacando que estamos tratando de uma operação altamente madura, sólida e vitoriosa. Entre 2007 e 2018, originamos </w:t>
      </w:r>
      <w:r>
        <w:rPr>
          <w:b/>
          <w:bCs/>
          <w:color w:val="1F1F1F"/>
        </w:rPr>
        <w:t>20,3 bilhões de dólares</w:t>
      </w:r>
      <w:r>
        <w:rPr>
          <w:color w:val="1F1F1F"/>
        </w:rPr>
        <w:t xml:space="preserve"> em crédito pessoal pré-fixado, distribuídos em </w:t>
      </w:r>
      <w:r>
        <w:rPr>
          <w:b/>
          <w:bCs/>
          <w:color w:val="1F1F1F"/>
        </w:rPr>
        <w:t>1,34 milhão de contratos</w:t>
      </w:r>
      <w:r>
        <w:rPr>
          <w:color w:val="1F1F1F"/>
        </w:rPr>
        <w:t xml:space="preserve"> totalmente encerrados, gerando um lucro líquido acumulado de </w:t>
      </w:r>
      <w:r>
        <w:rPr>
          <w:b/>
          <w:bCs/>
          <w:color w:val="1F1F1F"/>
        </w:rPr>
        <w:t>3,33 bilhões de dólares</w:t>
      </w:r>
      <w:r>
        <w:rPr>
          <w:color w:val="1F1F1F"/>
        </w:rPr>
        <w:t>.</w:t>
      </w:r>
    </w:p>
    <w:p w14:paraId="0000000A" w14:textId="77777777" w:rsidR="00FA7CF9" w:rsidRDefault="00000000">
      <w:pPr>
        <w:rPr>
          <w:color w:val="188038"/>
          <w:sz w:val="23"/>
          <w:szCs w:val="23"/>
          <w:shd w:val="clear" w:color="auto" w:fill="F2F0F0"/>
        </w:rPr>
      </w:pPr>
      <w:r>
        <w:rPr>
          <w:color w:val="188038"/>
          <w:sz w:val="23"/>
          <w:szCs w:val="23"/>
          <w:shd w:val="clear" w:color="auto" w:fill="F2F0F0"/>
        </w:rPr>
        <w:br/>
        <w:t>[DESACELERAR LEVEMENTE — MANTENHA O OLHAR NA LENTE]</w:t>
      </w:r>
    </w:p>
    <w:p w14:paraId="0000000B" w14:textId="77777777" w:rsidR="00FA7CF9" w:rsidRDefault="00000000">
      <w:pPr>
        <w:rPr>
          <w:color w:val="1F1F1F"/>
        </w:rPr>
      </w:pPr>
      <w:r>
        <w:rPr>
          <w:color w:val="1F1F1F"/>
        </w:rPr>
        <w:br/>
        <w:t>Um ponto importante sobre o método: os quase 11 anos de originação analisados foram corrigidos pela inflação para Dólares Constantes de 2018, e cobrem desde a crise de 2008 até a expansão seguinte. Ou seja, os números a seguir não são a foto de um ano isolado, e sim uma média confiável de quase onze anos.</w:t>
      </w:r>
    </w:p>
    <w:p w14:paraId="0000000C" w14:textId="77777777" w:rsidR="00FA7CF9" w:rsidRDefault="00000000">
      <w:pPr>
        <w:rPr>
          <w:color w:val="1F1F1F"/>
        </w:rPr>
      </w:pPr>
      <w:r>
        <w:rPr>
          <w:color w:val="1F1F1F"/>
        </w:rPr>
        <w:t xml:space="preserve">Mesmo com um volume tão grande, os dados provam que o </w:t>
      </w:r>
      <w:proofErr w:type="spellStart"/>
      <w:r>
        <w:rPr>
          <w:color w:val="1F1F1F"/>
        </w:rPr>
        <w:t>Happen</w:t>
      </w:r>
      <w:proofErr w:type="spellEnd"/>
      <w:r>
        <w:rPr>
          <w:color w:val="1F1F1F"/>
        </w:rPr>
        <w:t xml:space="preserve"> Bank já gerencia risco e equilibra a carteira de forma exemplar. O nosso ROA histórico de </w:t>
      </w:r>
      <w:r>
        <w:rPr>
          <w:b/>
          <w:bCs/>
          <w:color w:val="1F1F1F"/>
        </w:rPr>
        <w:t>4,43% ao ano</w:t>
      </w:r>
      <w:r>
        <w:rPr>
          <w:color w:val="1F1F1F"/>
        </w:rPr>
        <w:t xml:space="preserve"> supera a meta interna de 4,00% e os concorrentes de alta rentabilidade do mercado, como </w:t>
      </w:r>
      <w:proofErr w:type="spellStart"/>
      <w:r>
        <w:rPr>
          <w:color w:val="1F1F1F"/>
        </w:rPr>
        <w:t>Synchrony</w:t>
      </w:r>
      <w:proofErr w:type="spellEnd"/>
      <w:r>
        <w:rPr>
          <w:color w:val="1F1F1F"/>
        </w:rPr>
        <w:t>, com 3,80%, e Discover, com 2,70%.</w:t>
      </w:r>
    </w:p>
    <w:p w14:paraId="0000000D" w14:textId="77777777" w:rsidR="00FA7CF9" w:rsidRDefault="00FA7CF9">
      <w:pPr>
        <w:rPr>
          <w:color w:val="188038"/>
          <w:sz w:val="23"/>
          <w:szCs w:val="23"/>
          <w:shd w:val="clear" w:color="auto" w:fill="F2F0F0"/>
        </w:rPr>
      </w:pPr>
    </w:p>
    <w:p w14:paraId="0000000E" w14:textId="77777777" w:rsidR="00FA7CF9" w:rsidRDefault="00000000">
      <w:pPr>
        <w:rPr>
          <w:color w:val="188038"/>
          <w:sz w:val="23"/>
          <w:szCs w:val="23"/>
          <w:shd w:val="clear" w:color="auto" w:fill="F2F0F0"/>
        </w:rPr>
      </w:pPr>
      <w:r>
        <w:rPr>
          <w:color w:val="188038"/>
          <w:sz w:val="23"/>
          <w:szCs w:val="23"/>
          <w:shd w:val="clear" w:color="auto" w:fill="F2F0F0"/>
        </w:rPr>
        <w:t>[PAUSA - FIXAR OLHAR NA LENTE]</w:t>
      </w:r>
    </w:p>
    <w:p w14:paraId="0000000F" w14:textId="77777777" w:rsidR="00FA7CF9" w:rsidRDefault="00000000">
      <w:pPr>
        <w:rPr>
          <w:color w:val="1F1F1F"/>
        </w:rPr>
      </w:pPr>
      <w:r>
        <w:rPr>
          <w:color w:val="1F1F1F"/>
        </w:rPr>
        <w:br/>
        <w:t xml:space="preserve">Portanto, o objetivo desta investigação não é consertar um banco com problemas, e sim fazer ajustes finos em uma operação que já funciona bem, mapeando até </w:t>
      </w:r>
      <w:r>
        <w:rPr>
          <w:b/>
          <w:bCs/>
          <w:color w:val="1F1F1F"/>
        </w:rPr>
        <w:t>299,5 milhões de dólares</w:t>
      </w:r>
      <w:r>
        <w:rPr>
          <w:color w:val="1F1F1F"/>
        </w:rPr>
        <w:t xml:space="preserve"> em custo de oportunidade acumulado. A razão é simples: em uma operação de bilhões de dólares, pequenas falhas de preço se multiplicam e viram valores grandes."</w:t>
      </w:r>
    </w:p>
    <w:p w14:paraId="00000010" w14:textId="77777777" w:rsidR="00FA7CF9" w:rsidRDefault="00000000">
      <w:pPr>
        <w:rPr>
          <w:color w:val="188038"/>
          <w:sz w:val="23"/>
          <w:szCs w:val="23"/>
          <w:shd w:val="clear" w:color="auto" w:fill="F2F0F0"/>
        </w:rPr>
      </w:pPr>
      <w:r>
        <w:rPr>
          <w:color w:val="188038"/>
          <w:sz w:val="23"/>
          <w:szCs w:val="23"/>
          <w:shd w:val="clear" w:color="auto" w:fill="F2F0F0"/>
        </w:rPr>
        <w:br/>
        <w:t>[PAUSA TÉCNICA DE 1 SEGUNDO — AVANÇAR SLIDE]</w:t>
      </w:r>
    </w:p>
    <w:p w14:paraId="00000011" w14:textId="77777777" w:rsidR="00FA7CF9" w:rsidRDefault="00000000">
      <w:pPr>
        <w:pStyle w:val="Heading3"/>
        <w:keepNext w:val="0"/>
        <w:keepLines w:val="0"/>
        <w:spacing w:before="0" w:after="0"/>
        <w:rPr>
          <w:b/>
          <w:bCs/>
          <w:color w:val="1F1F1F"/>
          <w:sz w:val="26"/>
          <w:szCs w:val="26"/>
        </w:rPr>
      </w:pPr>
      <w:bookmarkStart w:id="2" w:name="_nz86nznea381" w:colFirst="0" w:colLast="0"/>
      <w:bookmarkEnd w:id="2"/>
      <w:r>
        <w:rPr>
          <w:b/>
          <w:bCs/>
          <w:color w:val="1F1F1F"/>
          <w:sz w:val="26"/>
          <w:szCs w:val="26"/>
        </w:rPr>
        <w:br/>
      </w:r>
      <w:r>
        <w:rPr>
          <w:b/>
          <w:bCs/>
          <w:color w:val="1F1F1F"/>
          <w:sz w:val="26"/>
          <w:szCs w:val="26"/>
        </w:rPr>
        <w:br/>
        <w:t>SLIDE 02: O MODELO DE NEGÓCIO &amp; O PAPEL DOS INVESTIDORES</w:t>
      </w:r>
    </w:p>
    <w:p w14:paraId="00000012" w14:textId="77777777" w:rsidR="00FA7CF9" w:rsidRDefault="00FA7CF9">
      <w:pPr>
        <w:rPr>
          <w:color w:val="188038"/>
          <w:sz w:val="23"/>
          <w:szCs w:val="23"/>
          <w:shd w:val="clear" w:color="auto" w:fill="F2F0F0"/>
        </w:rPr>
      </w:pPr>
    </w:p>
    <w:p w14:paraId="00000013" w14:textId="77777777" w:rsidR="00FA7CF9" w:rsidRDefault="00000000">
      <w:pPr>
        <w:rPr>
          <w:color w:val="188038"/>
          <w:sz w:val="23"/>
          <w:szCs w:val="23"/>
          <w:shd w:val="clear" w:color="auto" w:fill="F2F0F0"/>
        </w:rPr>
      </w:pPr>
      <w:r>
        <w:rPr>
          <w:color w:val="188038"/>
          <w:sz w:val="23"/>
          <w:szCs w:val="23"/>
          <w:shd w:val="clear" w:color="auto" w:fill="F2F0F0"/>
        </w:rPr>
        <w:t>[ENTONAÇÃO: FLUIDA E DIDÁTICA]</w:t>
      </w:r>
    </w:p>
    <w:p w14:paraId="00000014" w14:textId="77777777" w:rsidR="00FA7CF9" w:rsidRDefault="00000000">
      <w:pPr>
        <w:rPr>
          <w:color w:val="1F1F1F"/>
        </w:rPr>
      </w:pPr>
      <w:r>
        <w:rPr>
          <w:color w:val="1F1F1F"/>
        </w:rPr>
        <w:lastRenderedPageBreak/>
        <w:br/>
        <w:t xml:space="preserve">"Na prática, o </w:t>
      </w:r>
      <w:proofErr w:type="spellStart"/>
      <w:r>
        <w:rPr>
          <w:color w:val="1F1F1F"/>
        </w:rPr>
        <w:t>Happen</w:t>
      </w:r>
      <w:proofErr w:type="spellEnd"/>
      <w:r>
        <w:rPr>
          <w:color w:val="1F1F1F"/>
        </w:rPr>
        <w:t xml:space="preserve"> Bank funciona como uma plataforma digital de crédito. Fazemos tudo 100% online, conectando diretamente quem precisa de dinheiro a quem quer investir, sem agências físicas nem a estrutura pesada de um banco tradicional.</w:t>
      </w:r>
    </w:p>
    <w:p w14:paraId="00000015" w14:textId="77777777" w:rsidR="00FA7CF9" w:rsidRDefault="00000000">
      <w:pPr>
        <w:rPr>
          <w:color w:val="1F1F1F"/>
        </w:rPr>
      </w:pPr>
      <w:r>
        <w:rPr>
          <w:color w:val="1F1F1F"/>
        </w:rPr>
        <w:t xml:space="preserve">O nosso produto principal é o empréstimo pessoal sem garantia, com prazo fixo de 36 ou 60 meses, usado pela maioria dos clientes para quitar dívidas caras de cartão de crédito. Cada proposta recebe ainda uma nota de risco própria, de A </w:t>
      </w:r>
      <w:proofErr w:type="spellStart"/>
      <w:r>
        <w:rPr>
          <w:color w:val="1F1F1F"/>
        </w:rPr>
        <w:t>a</w:t>
      </w:r>
      <w:proofErr w:type="spellEnd"/>
      <w:r>
        <w:rPr>
          <w:color w:val="1F1F1F"/>
        </w:rPr>
        <w:t xml:space="preserve"> G, que define a taxa de juros conforme a chance de calote de cada cliente — diferente da Classe de renda que veremos a seguir, e central nas próximas análises.</w:t>
      </w:r>
    </w:p>
    <w:p w14:paraId="00000016" w14:textId="77777777" w:rsidR="00FA7CF9" w:rsidRDefault="00000000">
      <w:pPr>
        <w:rPr>
          <w:color w:val="1F1F1F"/>
        </w:rPr>
      </w:pPr>
      <w:r>
        <w:rPr>
          <w:color w:val="1F1F1F"/>
        </w:rPr>
        <w:t>Nessa plataforma, a peça fundamental é o investidor: ela conecta tomadores a investidores, pessoas físicas e instituições, que recebem de volta os juros pagos pelos clientes. Por isso, a sustentabilidade do nosso modelo depende 100% de entregar um retorno líquido atrativo e previsível a quem coloca o capital."</w:t>
      </w:r>
    </w:p>
    <w:p w14:paraId="00000017" w14:textId="77777777" w:rsidR="00FA7CF9" w:rsidRDefault="00000000">
      <w:pPr>
        <w:rPr>
          <w:color w:val="188038"/>
          <w:sz w:val="23"/>
          <w:szCs w:val="23"/>
          <w:shd w:val="clear" w:color="auto" w:fill="F2F0F0"/>
        </w:rPr>
      </w:pPr>
      <w:r>
        <w:rPr>
          <w:color w:val="188038"/>
          <w:sz w:val="23"/>
          <w:szCs w:val="23"/>
          <w:shd w:val="clear" w:color="auto" w:fill="F2F0F0"/>
        </w:rPr>
        <w:br/>
        <w:t>[PAUSA TÉCNICA DE 1 SEGUNDO — AVANÇAR SLIDE]</w:t>
      </w:r>
    </w:p>
    <w:p w14:paraId="00000018" w14:textId="77777777" w:rsidR="00FA7CF9" w:rsidRDefault="00000000">
      <w:pPr>
        <w:pStyle w:val="Heading3"/>
        <w:keepNext w:val="0"/>
        <w:keepLines w:val="0"/>
        <w:spacing w:before="0" w:after="0"/>
        <w:rPr>
          <w:b/>
          <w:bCs/>
          <w:color w:val="1F1F1F"/>
          <w:sz w:val="26"/>
          <w:szCs w:val="26"/>
        </w:rPr>
      </w:pPr>
      <w:bookmarkStart w:id="3" w:name="_e4jp2euqgud" w:colFirst="0" w:colLast="0"/>
      <w:bookmarkEnd w:id="3"/>
      <w:r>
        <w:rPr>
          <w:b/>
          <w:bCs/>
          <w:color w:val="1F1F1F"/>
          <w:sz w:val="26"/>
          <w:szCs w:val="26"/>
        </w:rPr>
        <w:br/>
        <w:t>SLIDE 03: A MÉTRICA CENTRAL: O CONCEITO DE ROA NO CRÉDITO</w:t>
      </w:r>
    </w:p>
    <w:p w14:paraId="00000019" w14:textId="77777777" w:rsidR="00FA7CF9" w:rsidRDefault="00000000">
      <w:pPr>
        <w:rPr>
          <w:color w:val="188038"/>
          <w:sz w:val="23"/>
          <w:szCs w:val="23"/>
          <w:shd w:val="clear" w:color="auto" w:fill="F2F0F0"/>
        </w:rPr>
      </w:pPr>
      <w:r>
        <w:rPr>
          <w:color w:val="188038"/>
          <w:sz w:val="23"/>
          <w:szCs w:val="23"/>
          <w:shd w:val="clear" w:color="auto" w:fill="F2F0F0"/>
        </w:rPr>
        <w:br/>
        <w:t>[ENTONAÇÃO: ANALÍTICA E ASSERTIVA]</w:t>
      </w:r>
    </w:p>
    <w:p w14:paraId="0000001A" w14:textId="77777777" w:rsidR="00FA7CF9" w:rsidRDefault="00000000">
      <w:pPr>
        <w:rPr>
          <w:color w:val="1F1F1F"/>
        </w:rPr>
      </w:pPr>
      <w:r>
        <w:rPr>
          <w:color w:val="1F1F1F"/>
        </w:rPr>
        <w:t>"Para medir se estamos remunerando esse capital de forma adequada, usamos a métrica do ROA da carteira. Ela representa o resultado financeiro líquido acumulado — já descontando as perdas reais por calote e as despesas operacionais — dividido pelo total de dinheiro emprestado.</w:t>
      </w:r>
    </w:p>
    <w:p w14:paraId="0000001B" w14:textId="77777777" w:rsidR="00FA7CF9" w:rsidRDefault="00000000">
      <w:pPr>
        <w:rPr>
          <w:color w:val="1F1F1F"/>
        </w:rPr>
      </w:pPr>
      <w:r>
        <w:rPr>
          <w:color w:val="1F1F1F"/>
        </w:rPr>
        <w:t xml:space="preserve">A exigência de uma meta interna, um retorno mínimo de </w:t>
      </w:r>
      <w:r>
        <w:rPr>
          <w:b/>
          <w:bCs/>
          <w:color w:val="1F1F1F"/>
        </w:rPr>
        <w:t>4,00% ao ano</w:t>
      </w:r>
      <w:r>
        <w:rPr>
          <w:color w:val="1F1F1F"/>
        </w:rPr>
        <w:t xml:space="preserve"> de ROA, é explicada pela ausência de garantia real: em caso de calote, não temos um imóvel ou veículo para tomar de volta, o que faz a recuperação depender só de cobrança. Por isso, a nossa precificação precisa embutir uma margem de segurança robusta contra o risco.</w:t>
      </w:r>
    </w:p>
    <w:p w14:paraId="0000001C" w14:textId="77777777" w:rsidR="00FA7CF9" w:rsidRDefault="00000000">
      <w:pPr>
        <w:rPr>
          <w:color w:val="1F1F1F"/>
        </w:rPr>
      </w:pPr>
      <w:r>
        <w:rPr>
          <w:color w:val="1F1F1F"/>
        </w:rPr>
        <w:t xml:space="preserve">E como vimos, o nosso histórico de </w:t>
      </w:r>
      <w:r>
        <w:rPr>
          <w:b/>
          <w:bCs/>
          <w:color w:val="1F1F1F"/>
        </w:rPr>
        <w:t>4,43% de ROA</w:t>
      </w:r>
      <w:r>
        <w:rPr>
          <w:color w:val="1F1F1F"/>
        </w:rPr>
        <w:t xml:space="preserve"> confirma que o banco já domina o equilíbrio entre volume e risco. Diante de 1,34 milhão de contratos e 20,3 bilhões de dólares originados, a análise de dados nos permite identificar exatamente onde a nossa escala está escondendo margem de lucro."</w:t>
      </w:r>
    </w:p>
    <w:p w14:paraId="0000001D" w14:textId="77777777" w:rsidR="00FA7CF9" w:rsidRDefault="00FA7CF9">
      <w:pPr>
        <w:rPr>
          <w:color w:val="188038"/>
          <w:sz w:val="23"/>
          <w:szCs w:val="23"/>
          <w:shd w:val="clear" w:color="auto" w:fill="F2F0F0"/>
        </w:rPr>
      </w:pPr>
    </w:p>
    <w:p w14:paraId="0000001E" w14:textId="77777777" w:rsidR="00FA7CF9" w:rsidRDefault="00000000">
      <w:pPr>
        <w:rPr>
          <w:color w:val="188038"/>
          <w:sz w:val="23"/>
          <w:szCs w:val="23"/>
          <w:shd w:val="clear" w:color="auto" w:fill="F2F0F0"/>
        </w:rPr>
      </w:pPr>
      <w:r>
        <w:rPr>
          <w:color w:val="188038"/>
          <w:sz w:val="23"/>
          <w:szCs w:val="23"/>
          <w:shd w:val="clear" w:color="auto" w:fill="F2F0F0"/>
        </w:rPr>
        <w:t>[PAUSA TÉCNICA DE 1 SEGUNDO — AVANÇAR SLIDE]</w:t>
      </w:r>
    </w:p>
    <w:p w14:paraId="0000001F" w14:textId="77777777" w:rsidR="00FA7CF9" w:rsidRDefault="00000000">
      <w:pPr>
        <w:pStyle w:val="Heading3"/>
        <w:keepNext w:val="0"/>
        <w:keepLines w:val="0"/>
        <w:spacing w:before="0" w:after="0"/>
        <w:rPr>
          <w:b/>
          <w:bCs/>
          <w:color w:val="1F1F1F"/>
          <w:sz w:val="26"/>
          <w:szCs w:val="26"/>
        </w:rPr>
      </w:pPr>
      <w:bookmarkStart w:id="4" w:name="_ukabucq9vu3q" w:colFirst="0" w:colLast="0"/>
      <w:bookmarkEnd w:id="4"/>
      <w:r>
        <w:rPr>
          <w:b/>
          <w:bCs/>
          <w:color w:val="1F1F1F"/>
          <w:sz w:val="26"/>
          <w:szCs w:val="26"/>
        </w:rPr>
        <w:br/>
        <w:t>SLIDE 04: ARQUITETURA ANALÍTICA: SEGMENTAÇÃO</w:t>
      </w:r>
    </w:p>
    <w:p w14:paraId="00000020" w14:textId="77777777" w:rsidR="00FA7CF9" w:rsidRDefault="00000000">
      <w:pPr>
        <w:rPr>
          <w:color w:val="188038"/>
          <w:sz w:val="23"/>
          <w:szCs w:val="23"/>
          <w:shd w:val="clear" w:color="auto" w:fill="F2F0F0"/>
        </w:rPr>
      </w:pPr>
      <w:r>
        <w:rPr>
          <w:color w:val="188038"/>
          <w:sz w:val="23"/>
          <w:szCs w:val="23"/>
          <w:shd w:val="clear" w:color="auto" w:fill="F2F0F0"/>
        </w:rPr>
        <w:br/>
        <w:t>[ENTONAÇÃO: TÉCNICA E ESTRUTURADA]</w:t>
      </w:r>
    </w:p>
    <w:p w14:paraId="00000021" w14:textId="77777777" w:rsidR="00FA7CF9" w:rsidRDefault="00000000">
      <w:pPr>
        <w:rPr>
          <w:color w:val="1F1F1F"/>
        </w:rPr>
      </w:pPr>
      <w:r>
        <w:rPr>
          <w:color w:val="1F1F1F"/>
        </w:rPr>
        <w:br/>
        <w:t>"Para viabilizar esse diagnóstico, criei duas variáveis próprias de segmentação, usando SQL, que nos permitem enxergar além das médias do banco.</w:t>
      </w:r>
    </w:p>
    <w:p w14:paraId="00000022" w14:textId="77777777" w:rsidR="00FA7CF9" w:rsidRDefault="00000000">
      <w:pPr>
        <w:rPr>
          <w:color w:val="1F1F1F"/>
        </w:rPr>
      </w:pPr>
      <w:r>
        <w:rPr>
          <w:color w:val="1F1F1F"/>
        </w:rPr>
        <w:t>A primeira é a Faixa de Renda, construída a partir dos dados: dividimos a carteira em cinco grupos de tamanho parecido, com cerca de 268 mil contratos cada — da Classe A, com renda acima de 104 mil dólares, até a Classe E, a mais vulnerável, com renda de até 44,1 mil dólares.</w:t>
      </w:r>
    </w:p>
    <w:p w14:paraId="00000023" w14:textId="77777777" w:rsidR="00FA7CF9" w:rsidRDefault="00000000">
      <w:pPr>
        <w:rPr>
          <w:color w:val="1F1F1F"/>
        </w:rPr>
      </w:pPr>
      <w:r>
        <w:rPr>
          <w:color w:val="1F1F1F"/>
        </w:rPr>
        <w:t xml:space="preserve">A segunda variável mede quanto a parcela deste empréstimo pesa no orçamento do cliente: o mercado costuma olhar o endividamento total, considerando alto acima de 30%; aqui, </w:t>
      </w:r>
      <w:r>
        <w:rPr>
          <w:color w:val="1F1F1F"/>
        </w:rPr>
        <w:lastRenderedPageBreak/>
        <w:t>quando só esta parcela consome mais de 20% da renda mensal, os dados mostram que o risco vira crítico — é esse o perfil que chamamos de Sufocado."</w:t>
      </w:r>
    </w:p>
    <w:p w14:paraId="00000024" w14:textId="77777777" w:rsidR="00FA7CF9" w:rsidRDefault="00000000">
      <w:pPr>
        <w:rPr>
          <w:color w:val="188038"/>
          <w:sz w:val="23"/>
          <w:szCs w:val="23"/>
          <w:shd w:val="clear" w:color="auto" w:fill="F2F0F0"/>
        </w:rPr>
      </w:pPr>
      <w:r>
        <w:rPr>
          <w:color w:val="188038"/>
          <w:sz w:val="23"/>
          <w:szCs w:val="23"/>
          <w:shd w:val="clear" w:color="auto" w:fill="F2F0F0"/>
        </w:rPr>
        <w:br/>
        <w:t>[PAUSA TÉCNICA DE 1 SEGUNDO — AVANÇAR SLIDE]</w:t>
      </w:r>
    </w:p>
    <w:p w14:paraId="00000025" w14:textId="77777777" w:rsidR="00FA7CF9" w:rsidRDefault="00000000">
      <w:pPr>
        <w:pStyle w:val="Heading3"/>
        <w:keepNext w:val="0"/>
        <w:keepLines w:val="0"/>
        <w:spacing w:before="0" w:after="0"/>
        <w:rPr>
          <w:b/>
          <w:bCs/>
          <w:color w:val="1F1F1F"/>
          <w:sz w:val="26"/>
          <w:szCs w:val="26"/>
        </w:rPr>
      </w:pPr>
      <w:bookmarkStart w:id="5" w:name="_o8ldd7i5lrv1" w:colFirst="0" w:colLast="0"/>
      <w:bookmarkEnd w:id="5"/>
      <w:r>
        <w:rPr>
          <w:b/>
          <w:bCs/>
          <w:color w:val="1F1F1F"/>
          <w:sz w:val="26"/>
          <w:szCs w:val="26"/>
        </w:rPr>
        <w:br/>
        <w:t>SLIDE 05: TESE 1 — O PERIGO SILENCIOSO DO "MIOLO"</w:t>
      </w:r>
    </w:p>
    <w:p w14:paraId="00000026" w14:textId="77777777" w:rsidR="00FA7CF9" w:rsidRDefault="00000000">
      <w:pPr>
        <w:rPr>
          <w:color w:val="188038"/>
          <w:sz w:val="23"/>
          <w:szCs w:val="23"/>
          <w:shd w:val="clear" w:color="auto" w:fill="F2F0F0"/>
        </w:rPr>
      </w:pPr>
      <w:r>
        <w:rPr>
          <w:color w:val="188038"/>
          <w:sz w:val="23"/>
          <w:szCs w:val="23"/>
          <w:shd w:val="clear" w:color="auto" w:fill="F2F0F0"/>
        </w:rPr>
        <w:br/>
        <w:t>[ENTONAÇÃO: MUDANÇA DE TOM — VALORIZAR A APROVAÇÃO DE CRÉDITO PRIMEIRO, DEPOIS ENFATIZAR A PERDA DO MIOLO]</w:t>
      </w:r>
    </w:p>
    <w:p w14:paraId="00000027" w14:textId="77777777" w:rsidR="00FA7CF9" w:rsidRDefault="00000000">
      <w:pPr>
        <w:rPr>
          <w:color w:val="1F1F1F"/>
        </w:rPr>
      </w:pPr>
      <w:r>
        <w:rPr>
          <w:color w:val="1F1F1F"/>
        </w:rPr>
        <w:br/>
        <w:t>"A descoberta mais importante desta análise foi desmontar um mito sobre o cliente Sufocado. A intuição tradicional do comitê de risco costuma focar no tomador com mais de 20% de comprometimento de renda, já que ali o ROA despenca para 1,37%.</w:t>
      </w:r>
    </w:p>
    <w:p w14:paraId="00000028" w14:textId="77777777" w:rsidR="00FA7CF9" w:rsidRDefault="00000000">
      <w:pPr>
        <w:rPr>
          <w:color w:val="1F1F1F"/>
        </w:rPr>
      </w:pPr>
      <w:r>
        <w:rPr>
          <w:color w:val="1F1F1F"/>
        </w:rPr>
        <w:t xml:space="preserve">Esse grupo não é o nosso maior problema porque a nossa esteira de aprovação já filtra bem esses casos antes de fechar o contrato. Esse perfil representa apenas </w:t>
      </w:r>
      <w:r>
        <w:rPr>
          <w:b/>
          <w:bCs/>
          <w:color w:val="1F1F1F"/>
        </w:rPr>
        <w:t>13.163 contratos</w:t>
      </w:r>
      <w:r>
        <w:rPr>
          <w:color w:val="1F1F1F"/>
        </w:rPr>
        <w:t xml:space="preserve">, correspondendo a 0,98% da nossa base e </w:t>
      </w:r>
      <w:r>
        <w:rPr>
          <w:b/>
          <w:bCs/>
          <w:color w:val="1F1F1F"/>
        </w:rPr>
        <w:t>319 milhões de dólares financiados</w:t>
      </w:r>
      <w:r>
        <w:rPr>
          <w:color w:val="1F1F1F"/>
        </w:rPr>
        <w:t xml:space="preserve">, acumulando </w:t>
      </w:r>
      <w:r>
        <w:rPr>
          <w:b/>
          <w:bCs/>
          <w:color w:val="1F1F1F"/>
        </w:rPr>
        <w:t>27,6 milhões de dólares</w:t>
      </w:r>
      <w:r>
        <w:rPr>
          <w:color w:val="1F1F1F"/>
        </w:rPr>
        <w:t xml:space="preserve"> em custo de oportunidade. Isso mostra que o nosso filtro de entrada já funciona bem.</w:t>
      </w:r>
    </w:p>
    <w:p w14:paraId="00000029" w14:textId="77777777" w:rsidR="00FA7CF9" w:rsidRDefault="00000000">
      <w:pPr>
        <w:rPr>
          <w:color w:val="188038"/>
          <w:sz w:val="23"/>
          <w:szCs w:val="23"/>
          <w:shd w:val="clear" w:color="auto" w:fill="F2F0F0"/>
        </w:rPr>
      </w:pPr>
      <w:r>
        <w:rPr>
          <w:color w:val="188038"/>
          <w:sz w:val="23"/>
          <w:szCs w:val="23"/>
          <w:shd w:val="clear" w:color="auto" w:fill="F2F0F0"/>
        </w:rPr>
        <w:br/>
        <w:t>[DESACELERAR E ENFATIZAR]</w:t>
      </w:r>
    </w:p>
    <w:p w14:paraId="0000002A" w14:textId="77777777" w:rsidR="00FA7CF9" w:rsidRDefault="00000000">
      <w:pPr>
        <w:rPr>
          <w:color w:val="1F1F1F"/>
        </w:rPr>
      </w:pPr>
      <w:r>
        <w:rPr>
          <w:color w:val="1F1F1F"/>
        </w:rPr>
        <w:br/>
        <w:t xml:space="preserve">O verdadeiro ralo de caixa está no Miolo, entre 10% e 20% de comprometimento: </w:t>
      </w:r>
      <w:r>
        <w:rPr>
          <w:b/>
          <w:bCs/>
          <w:color w:val="1F1F1F"/>
        </w:rPr>
        <w:t>7,40 bilhões de dólares</w:t>
      </w:r>
      <w:r>
        <w:rPr>
          <w:color w:val="1F1F1F"/>
        </w:rPr>
        <w:t xml:space="preserve"> em </w:t>
      </w:r>
      <w:r>
        <w:rPr>
          <w:b/>
          <w:bCs/>
          <w:color w:val="1F1F1F"/>
        </w:rPr>
        <w:t>367.023 contratos</w:t>
      </w:r>
      <w:r>
        <w:rPr>
          <w:color w:val="1F1F1F"/>
        </w:rPr>
        <w:t xml:space="preserve">, 27,29% de todas as vendas do banco. Por causa da escala — 28 vezes maior que a faixa sufocada —, pequenas falhas na taxa cobrada geraram </w:t>
      </w:r>
      <w:r>
        <w:rPr>
          <w:b/>
          <w:bCs/>
          <w:color w:val="1F1F1F"/>
        </w:rPr>
        <w:t>239,2 milhões de dólares</w:t>
      </w:r>
      <w:r>
        <w:rPr>
          <w:color w:val="1F1F1F"/>
        </w:rPr>
        <w:t xml:space="preserve"> em custo de oportunidade: </w:t>
      </w:r>
      <w:r>
        <w:rPr>
          <w:b/>
          <w:bCs/>
          <w:color w:val="1F1F1F"/>
        </w:rPr>
        <w:t>80% de toda a perda do banco</w:t>
      </w:r>
      <w:r>
        <w:rPr>
          <w:color w:val="1F1F1F"/>
        </w:rPr>
        <w:t xml:space="preserve"> em relação à nossa meta mínima de retorno."</w:t>
      </w:r>
    </w:p>
    <w:p w14:paraId="0000002B" w14:textId="77777777" w:rsidR="00FA7CF9" w:rsidRDefault="00000000">
      <w:pPr>
        <w:rPr>
          <w:color w:val="188038"/>
          <w:sz w:val="23"/>
          <w:szCs w:val="23"/>
          <w:shd w:val="clear" w:color="auto" w:fill="F2F0F0"/>
        </w:rPr>
      </w:pPr>
      <w:r>
        <w:rPr>
          <w:color w:val="188038"/>
          <w:sz w:val="23"/>
          <w:szCs w:val="23"/>
          <w:shd w:val="clear" w:color="auto" w:fill="F2F0F0"/>
        </w:rPr>
        <w:br/>
        <w:t>[PAUSA TÉCNICA DE 1 SEGUNDO — AVANÇAR SLIDE]</w:t>
      </w:r>
    </w:p>
    <w:p w14:paraId="0000002C" w14:textId="77777777" w:rsidR="00FA7CF9" w:rsidRDefault="00000000">
      <w:pPr>
        <w:pStyle w:val="Heading3"/>
        <w:keepNext w:val="0"/>
        <w:keepLines w:val="0"/>
        <w:spacing w:before="0" w:after="0"/>
        <w:rPr>
          <w:b/>
          <w:bCs/>
          <w:color w:val="1F1F1F"/>
          <w:sz w:val="26"/>
          <w:szCs w:val="26"/>
        </w:rPr>
      </w:pPr>
      <w:bookmarkStart w:id="6" w:name="_5e8i23u354nk" w:colFirst="0" w:colLast="0"/>
      <w:bookmarkEnd w:id="6"/>
      <w:r>
        <w:rPr>
          <w:b/>
          <w:bCs/>
          <w:color w:val="1F1F1F"/>
          <w:sz w:val="26"/>
          <w:szCs w:val="26"/>
        </w:rPr>
        <w:br/>
        <w:t>SLIDES 06 &amp; 07: EPICENTROS DE PERDA E MATRIZ INTEGRADA</w:t>
      </w:r>
    </w:p>
    <w:p w14:paraId="0000002D" w14:textId="77777777" w:rsidR="00FA7CF9" w:rsidRDefault="00000000">
      <w:pPr>
        <w:rPr>
          <w:color w:val="188038"/>
          <w:sz w:val="23"/>
          <w:szCs w:val="23"/>
          <w:shd w:val="clear" w:color="auto" w:fill="F2F0F0"/>
        </w:rPr>
      </w:pPr>
      <w:r>
        <w:rPr>
          <w:color w:val="188038"/>
          <w:sz w:val="23"/>
          <w:szCs w:val="23"/>
          <w:shd w:val="clear" w:color="auto" w:fill="F2F0F0"/>
        </w:rPr>
        <w:br/>
        <w:t>[ENTONAÇÃO: CIRÚRGICA E BASEADA EM DADOS]</w:t>
      </w:r>
    </w:p>
    <w:p w14:paraId="0000002E" w14:textId="77777777" w:rsidR="00FA7CF9" w:rsidRDefault="00000000">
      <w:pPr>
        <w:rPr>
          <w:color w:val="1F1F1F"/>
        </w:rPr>
      </w:pPr>
      <w:r>
        <w:rPr>
          <w:color w:val="1F1F1F"/>
        </w:rPr>
        <w:br/>
        <w:t xml:space="preserve">"Olhando mais de perto os números da Matriz Integrada na tela, boa parte do custo de oportunidade de 239,2 milhões de dólares no Miolo está concentrada nas Grades C, D e </w:t>
      </w:r>
      <w:proofErr w:type="spellStart"/>
      <w:r>
        <w:rPr>
          <w:color w:val="1F1F1F"/>
        </w:rPr>
        <w:t>E</w:t>
      </w:r>
      <w:proofErr w:type="spellEnd"/>
      <w:r>
        <w:rPr>
          <w:color w:val="1F1F1F"/>
        </w:rPr>
        <w:t>, dentro da faixa de 10% a 20% de comprometimento de renda.</w:t>
      </w:r>
    </w:p>
    <w:p w14:paraId="0000002F" w14:textId="77777777" w:rsidR="00FA7CF9" w:rsidRDefault="00000000">
      <w:pPr>
        <w:rPr>
          <w:color w:val="1F1F1F"/>
        </w:rPr>
      </w:pPr>
      <w:r>
        <w:rPr>
          <w:color w:val="1F1F1F"/>
        </w:rPr>
        <w:t xml:space="preserve">Por exemplo, a Grade D no Miolo movimentou 74.151 contratos e </w:t>
      </w:r>
      <w:r>
        <w:rPr>
          <w:b/>
          <w:bCs/>
          <w:color w:val="1F1F1F"/>
        </w:rPr>
        <w:t>1,50 bilhão de dólares</w:t>
      </w:r>
      <w:r>
        <w:rPr>
          <w:color w:val="1F1F1F"/>
        </w:rPr>
        <w:t xml:space="preserve">, mas operou com um ROA de apenas 2,76% — bem abaixo do nosso piso de 4,00% —, gerando um custo de oportunidade de </w:t>
      </w:r>
      <w:r>
        <w:rPr>
          <w:b/>
          <w:bCs/>
          <w:color w:val="1F1F1F"/>
        </w:rPr>
        <w:t>78,6 milhões de dólares</w:t>
      </w:r>
      <w:r>
        <w:rPr>
          <w:color w:val="1F1F1F"/>
        </w:rPr>
        <w:t>.</w:t>
      </w:r>
    </w:p>
    <w:p w14:paraId="00000030" w14:textId="77777777" w:rsidR="00FA7CF9" w:rsidRDefault="00000000">
      <w:pPr>
        <w:rPr>
          <w:color w:val="1F1F1F"/>
        </w:rPr>
      </w:pPr>
      <w:r>
        <w:rPr>
          <w:color w:val="1F1F1F"/>
        </w:rPr>
        <w:t xml:space="preserve">Somando Grades C, D e </w:t>
      </w:r>
      <w:proofErr w:type="spellStart"/>
      <w:r>
        <w:rPr>
          <w:color w:val="1F1F1F"/>
        </w:rPr>
        <w:t>E</w:t>
      </w:r>
      <w:proofErr w:type="spellEnd"/>
      <w:r>
        <w:rPr>
          <w:color w:val="1F1F1F"/>
        </w:rPr>
        <w:t xml:space="preserve">, chegamos a </w:t>
      </w:r>
      <w:r>
        <w:rPr>
          <w:b/>
          <w:bCs/>
          <w:color w:val="1F1F1F"/>
        </w:rPr>
        <w:t>222.055 contratos</w:t>
      </w:r>
      <w:r>
        <w:rPr>
          <w:color w:val="1F1F1F"/>
        </w:rPr>
        <w:t xml:space="preserve">, </w:t>
      </w:r>
      <w:r>
        <w:rPr>
          <w:b/>
          <w:bCs/>
          <w:color w:val="1F1F1F"/>
        </w:rPr>
        <w:t>4,48 bilhões de dólares financiados</w:t>
      </w:r>
      <w:r>
        <w:rPr>
          <w:color w:val="1F1F1F"/>
        </w:rPr>
        <w:t xml:space="preserve"> e </w:t>
      </w:r>
      <w:r>
        <w:rPr>
          <w:b/>
          <w:bCs/>
          <w:color w:val="1F1F1F"/>
        </w:rPr>
        <w:t>185,7 milhões de dólares</w:t>
      </w:r>
      <w:r>
        <w:rPr>
          <w:color w:val="1F1F1F"/>
        </w:rPr>
        <w:t xml:space="preserve"> em custo de oportunidade — 78% do prejuízo relativo do Miolo. Ou seja, geramos um volume grande, mas cobrando menos do que deveríamos para o risco real dessa escala."</w:t>
      </w:r>
    </w:p>
    <w:p w14:paraId="00000031" w14:textId="77777777" w:rsidR="00FA7CF9" w:rsidRDefault="00000000">
      <w:pPr>
        <w:rPr>
          <w:color w:val="188038"/>
          <w:sz w:val="23"/>
          <w:szCs w:val="23"/>
          <w:shd w:val="clear" w:color="auto" w:fill="F2F0F0"/>
        </w:rPr>
      </w:pPr>
      <w:r>
        <w:rPr>
          <w:color w:val="188038"/>
          <w:sz w:val="23"/>
          <w:szCs w:val="23"/>
          <w:shd w:val="clear" w:color="auto" w:fill="F2F0F0"/>
        </w:rPr>
        <w:br/>
        <w:t>[PAUSA TÉCNICA DE 1 SEGUNDO — AVANÇAR SLIDE]</w:t>
      </w:r>
    </w:p>
    <w:p w14:paraId="00000032" w14:textId="77777777" w:rsidR="00FA7CF9" w:rsidRDefault="00000000">
      <w:pPr>
        <w:pStyle w:val="Heading3"/>
        <w:keepNext w:val="0"/>
        <w:keepLines w:val="0"/>
        <w:spacing w:before="0" w:after="0"/>
        <w:rPr>
          <w:b/>
          <w:bCs/>
          <w:color w:val="1F1F1F"/>
          <w:sz w:val="26"/>
          <w:szCs w:val="26"/>
        </w:rPr>
      </w:pPr>
      <w:bookmarkStart w:id="7" w:name="_mxp7ow8fzd2m" w:colFirst="0" w:colLast="0"/>
      <w:bookmarkEnd w:id="7"/>
      <w:r>
        <w:rPr>
          <w:b/>
          <w:bCs/>
          <w:color w:val="1F1F1F"/>
          <w:sz w:val="26"/>
          <w:szCs w:val="26"/>
        </w:rPr>
        <w:lastRenderedPageBreak/>
        <w:br/>
        <w:t>SLIDES 08 &amp; 09: TESE 2 — ELASTICIDADE DO PRAZO &amp; DETALHAMENTO</w:t>
      </w:r>
    </w:p>
    <w:p w14:paraId="00000033" w14:textId="77777777" w:rsidR="00FA7CF9" w:rsidRDefault="00000000">
      <w:pPr>
        <w:rPr>
          <w:color w:val="188038"/>
          <w:sz w:val="23"/>
          <w:szCs w:val="23"/>
          <w:shd w:val="clear" w:color="auto" w:fill="F2F0F0"/>
        </w:rPr>
      </w:pPr>
      <w:r>
        <w:rPr>
          <w:color w:val="188038"/>
          <w:sz w:val="23"/>
          <w:szCs w:val="23"/>
          <w:shd w:val="clear" w:color="auto" w:fill="F2F0F0"/>
        </w:rPr>
        <w:br/>
        <w:t>[ENTONAÇÃO: CONTRASTE CLARO — TOM POSITIVO NAS CLASSES A/B, TOM SÓBRIO NAS CLASSES D/E]</w:t>
      </w:r>
    </w:p>
    <w:p w14:paraId="00000034" w14:textId="77777777" w:rsidR="00FA7CF9" w:rsidRDefault="00FA7CF9">
      <w:pPr>
        <w:rPr>
          <w:color w:val="1F1F1F"/>
        </w:rPr>
      </w:pPr>
    </w:p>
    <w:p w14:paraId="00000035" w14:textId="77777777" w:rsidR="00FA7CF9" w:rsidRDefault="00000000">
      <w:pPr>
        <w:rPr>
          <w:color w:val="1F1F1F"/>
        </w:rPr>
      </w:pPr>
      <w:r>
        <w:rPr>
          <w:color w:val="1F1F1F"/>
        </w:rPr>
        <w:t>"A nossa segunda tese investiga o impacto do prazo do empréstimo e fundamenta o conceito de Fadiga de Prazo. Ao observar a média consolidada do banco, a extensão para 60 meses parece vantajosa, mas essa média esconde uma armadilha: comportamentos opostos entre as faixas de renda.</w:t>
      </w:r>
    </w:p>
    <w:p w14:paraId="00000036" w14:textId="77777777" w:rsidR="00FA7CF9" w:rsidRDefault="00000000">
      <w:pPr>
        <w:rPr>
          <w:color w:val="188038"/>
          <w:sz w:val="23"/>
          <w:szCs w:val="23"/>
          <w:shd w:val="clear" w:color="auto" w:fill="F2F0F0"/>
        </w:rPr>
      </w:pPr>
      <w:r>
        <w:rPr>
          <w:color w:val="188038"/>
          <w:sz w:val="23"/>
          <w:szCs w:val="23"/>
          <w:shd w:val="clear" w:color="auto" w:fill="F2F0F0"/>
        </w:rPr>
        <w:br/>
        <w:t>[TOM POSITIVO]</w:t>
      </w:r>
    </w:p>
    <w:p w14:paraId="00000037" w14:textId="77777777" w:rsidR="00FA7CF9" w:rsidRDefault="00000000">
      <w:pPr>
        <w:rPr>
          <w:color w:val="1F1F1F"/>
        </w:rPr>
      </w:pPr>
      <w:r>
        <w:rPr>
          <w:color w:val="1F1F1F"/>
        </w:rPr>
        <w:br/>
        <w:t xml:space="preserve">Isso é verificado ao analisar que, para as Classes A e B, de renda alta, alongar para 60 meses funciona como uma alavanca de valor. Na Classe A, com 268.487 contratos e 4,21 bilhões de dólares financiados, o ROA sobe de 5,29% em 36 meses para 6,24% em 60 meses, um avanço de </w:t>
      </w:r>
      <w:r>
        <w:rPr>
          <w:b/>
          <w:bCs/>
          <w:color w:val="1F1F1F"/>
        </w:rPr>
        <w:t xml:space="preserve">+0,95 </w:t>
      </w:r>
      <w:proofErr w:type="spellStart"/>
      <w:r>
        <w:rPr>
          <w:b/>
          <w:bCs/>
          <w:color w:val="1F1F1F"/>
        </w:rPr>
        <w:t>p.p</w:t>
      </w:r>
      <w:proofErr w:type="spellEnd"/>
      <w:r>
        <w:rPr>
          <w:b/>
          <w:bCs/>
          <w:color w:val="1F1F1F"/>
        </w:rPr>
        <w:t>.</w:t>
      </w:r>
      <w:r>
        <w:rPr>
          <w:color w:val="1F1F1F"/>
        </w:rPr>
        <w:t xml:space="preserve"> que gera </w:t>
      </w:r>
      <w:r>
        <w:rPr>
          <w:b/>
          <w:bCs/>
          <w:color w:val="1F1F1F"/>
        </w:rPr>
        <w:t>+$96,0 milhões</w:t>
      </w:r>
      <w:r>
        <w:rPr>
          <w:color w:val="1F1F1F"/>
        </w:rPr>
        <w:t xml:space="preserve"> em ganho nominal. Na Classe B, com 269.294 contratos e 3,95 bilhões de dólares, o ROA avança de 4,59% para 4,95%, crescendo </w:t>
      </w:r>
      <w:r>
        <w:rPr>
          <w:b/>
          <w:bCs/>
          <w:color w:val="1F1F1F"/>
        </w:rPr>
        <w:t xml:space="preserve">+0,36 </w:t>
      </w:r>
      <w:proofErr w:type="spellStart"/>
      <w:r>
        <w:rPr>
          <w:b/>
          <w:bCs/>
          <w:color w:val="1F1F1F"/>
        </w:rPr>
        <w:t>p.p</w:t>
      </w:r>
      <w:proofErr w:type="spellEnd"/>
      <w:r>
        <w:rPr>
          <w:b/>
          <w:bCs/>
          <w:color w:val="1F1F1F"/>
        </w:rPr>
        <w:t>.</w:t>
      </w:r>
      <w:r>
        <w:rPr>
          <w:color w:val="1F1F1F"/>
        </w:rPr>
        <w:t xml:space="preserve"> e adicionando </w:t>
      </w:r>
      <w:r>
        <w:rPr>
          <w:b/>
          <w:bCs/>
          <w:color w:val="1F1F1F"/>
        </w:rPr>
        <w:t>+$32,2 milhões</w:t>
      </w:r>
      <w:r>
        <w:rPr>
          <w:color w:val="1F1F1F"/>
        </w:rPr>
        <w:t xml:space="preserve">. Juntas, capturam </w:t>
      </w:r>
      <w:r>
        <w:rPr>
          <w:b/>
          <w:bCs/>
          <w:color w:val="1F1F1F"/>
        </w:rPr>
        <w:t>128,2 milhões de dólares</w:t>
      </w:r>
      <w:r>
        <w:rPr>
          <w:color w:val="1F1F1F"/>
        </w:rPr>
        <w:t>. Já a Classe C permanece neutra, com um impacto marginal de -$11,9 milhões.</w:t>
      </w:r>
    </w:p>
    <w:p w14:paraId="00000038" w14:textId="77777777" w:rsidR="00FA7CF9" w:rsidRDefault="00000000">
      <w:pPr>
        <w:rPr>
          <w:color w:val="188038"/>
          <w:sz w:val="23"/>
          <w:szCs w:val="23"/>
          <w:shd w:val="clear" w:color="auto" w:fill="F2F0F0"/>
        </w:rPr>
      </w:pPr>
      <w:r>
        <w:rPr>
          <w:color w:val="188038"/>
          <w:sz w:val="23"/>
          <w:szCs w:val="23"/>
          <w:shd w:val="clear" w:color="auto" w:fill="F2F0F0"/>
        </w:rPr>
        <w:br/>
        <w:t>[TOM SÓBRIO E ATENTO]</w:t>
      </w:r>
    </w:p>
    <w:p w14:paraId="00000039" w14:textId="77777777" w:rsidR="00FA7CF9" w:rsidRDefault="00000000">
      <w:pPr>
        <w:rPr>
          <w:color w:val="1F1F1F"/>
        </w:rPr>
      </w:pPr>
      <w:r>
        <w:rPr>
          <w:color w:val="1F1F1F"/>
        </w:rPr>
        <w:br/>
        <w:t xml:space="preserve">Por outro lado, para a baixa renda das Classes D e </w:t>
      </w:r>
      <w:proofErr w:type="spellStart"/>
      <w:r>
        <w:rPr>
          <w:color w:val="1F1F1F"/>
        </w:rPr>
        <w:t>E</w:t>
      </w:r>
      <w:proofErr w:type="spellEnd"/>
      <w:r>
        <w:rPr>
          <w:color w:val="1F1F1F"/>
        </w:rPr>
        <w:t xml:space="preserve">, o prazo de 60 meses vira uma armadilha: famílias vulneráveis têm dificuldade crescente de pagar a partir do 36º mês. Como consequência, na Classe D, com 268.295 contratos e 3,41 bilhões de dólares, o ROA cai de 3,94% para 3,00%, encolhendo </w:t>
      </w:r>
      <w:r>
        <w:rPr>
          <w:b/>
          <w:bCs/>
          <w:color w:val="1F1F1F"/>
        </w:rPr>
        <w:t xml:space="preserve">-0,94 </w:t>
      </w:r>
      <w:proofErr w:type="spellStart"/>
      <w:r>
        <w:rPr>
          <w:b/>
          <w:bCs/>
          <w:color w:val="1F1F1F"/>
        </w:rPr>
        <w:t>p.p</w:t>
      </w:r>
      <w:proofErr w:type="spellEnd"/>
      <w:r>
        <w:rPr>
          <w:b/>
          <w:bCs/>
          <w:color w:val="1F1F1F"/>
        </w:rPr>
        <w:t>.</w:t>
      </w:r>
      <w:r>
        <w:rPr>
          <w:color w:val="1F1F1F"/>
        </w:rPr>
        <w:t xml:space="preserve"> e destruindo </w:t>
      </w:r>
      <w:r>
        <w:rPr>
          <w:b/>
          <w:bCs/>
          <w:color w:val="1F1F1F"/>
        </w:rPr>
        <w:t>-$51,4 milhões</w:t>
      </w:r>
      <w:r>
        <w:rPr>
          <w:color w:val="1F1F1F"/>
        </w:rPr>
        <w:t xml:space="preserve">. Na Classe E, com 271.315 contratos e 3,15 bilhões de dólares, o ROA despenca de 2,91% para 1,58%, caindo </w:t>
      </w:r>
      <w:r>
        <w:rPr>
          <w:b/>
          <w:bCs/>
          <w:color w:val="1F1F1F"/>
        </w:rPr>
        <w:t xml:space="preserve">-1,33 </w:t>
      </w:r>
      <w:proofErr w:type="spellStart"/>
      <w:r>
        <w:rPr>
          <w:b/>
          <w:bCs/>
          <w:color w:val="1F1F1F"/>
        </w:rPr>
        <w:t>p.p</w:t>
      </w:r>
      <w:proofErr w:type="spellEnd"/>
      <w:r>
        <w:rPr>
          <w:b/>
          <w:bCs/>
          <w:color w:val="1F1F1F"/>
        </w:rPr>
        <w:t>.</w:t>
      </w:r>
      <w:r>
        <w:rPr>
          <w:color w:val="1F1F1F"/>
        </w:rPr>
        <w:t xml:space="preserve"> e acumulando uma perda nominal de </w:t>
      </w:r>
      <w:r>
        <w:rPr>
          <w:b/>
          <w:bCs/>
          <w:color w:val="1F1F1F"/>
        </w:rPr>
        <w:t>-$34,2 milhões</w:t>
      </w:r>
      <w:r>
        <w:rPr>
          <w:color w:val="1F1F1F"/>
        </w:rPr>
        <w:t xml:space="preserve">. Em conjunto, o prejuízo acumulado nessas duas classes atinge </w:t>
      </w:r>
      <w:r>
        <w:rPr>
          <w:b/>
          <w:bCs/>
          <w:color w:val="1F1F1F"/>
        </w:rPr>
        <w:t>85,6 milhões de dólares</w:t>
      </w:r>
      <w:r>
        <w:rPr>
          <w:color w:val="1F1F1F"/>
        </w:rPr>
        <w:t>. No consolidado das cinco classes, o efeito líquido é de apenas +$30,7 milhões — é esse número, não os extremos, que deve orientar a decisão do comitê."</w:t>
      </w:r>
    </w:p>
    <w:p w14:paraId="0000003A" w14:textId="77777777" w:rsidR="00FA7CF9" w:rsidRDefault="00000000">
      <w:pPr>
        <w:rPr>
          <w:color w:val="188038"/>
          <w:sz w:val="23"/>
          <w:szCs w:val="23"/>
          <w:shd w:val="clear" w:color="auto" w:fill="F2F0F0"/>
        </w:rPr>
      </w:pPr>
      <w:r>
        <w:rPr>
          <w:color w:val="188038"/>
          <w:sz w:val="23"/>
          <w:szCs w:val="23"/>
          <w:shd w:val="clear" w:color="auto" w:fill="F2F0F0"/>
        </w:rPr>
        <w:br/>
        <w:t>[PAUSA TÉCNICA DE 1 SEGUNDO — AVANÇAR SLIDE]</w:t>
      </w:r>
    </w:p>
    <w:p w14:paraId="0000003B" w14:textId="77777777" w:rsidR="00FA7CF9" w:rsidRDefault="00000000">
      <w:pPr>
        <w:pStyle w:val="Heading3"/>
        <w:keepNext w:val="0"/>
        <w:keepLines w:val="0"/>
        <w:spacing w:before="0" w:after="0"/>
        <w:rPr>
          <w:b/>
          <w:bCs/>
          <w:color w:val="1F1F1F"/>
          <w:sz w:val="26"/>
          <w:szCs w:val="26"/>
        </w:rPr>
      </w:pPr>
      <w:bookmarkStart w:id="8" w:name="_r223rp8rhmlu" w:colFirst="0" w:colLast="0"/>
      <w:bookmarkEnd w:id="8"/>
      <w:r>
        <w:rPr>
          <w:b/>
          <w:bCs/>
          <w:color w:val="1F1F1F"/>
          <w:sz w:val="26"/>
          <w:szCs w:val="26"/>
        </w:rPr>
        <w:br/>
        <w:t>SLIDE 10: ESTUDO DE CASO ESPECIAL — O PARADOXO DA GRADE G</w:t>
      </w:r>
    </w:p>
    <w:p w14:paraId="0000003C" w14:textId="77777777" w:rsidR="00FA7CF9" w:rsidRDefault="00000000">
      <w:pPr>
        <w:rPr>
          <w:color w:val="188038"/>
          <w:sz w:val="23"/>
          <w:szCs w:val="23"/>
          <w:shd w:val="clear" w:color="auto" w:fill="F2F0F0"/>
        </w:rPr>
      </w:pPr>
      <w:r>
        <w:rPr>
          <w:color w:val="188038"/>
          <w:sz w:val="23"/>
          <w:szCs w:val="23"/>
          <w:shd w:val="clear" w:color="auto" w:fill="F2F0F0"/>
        </w:rPr>
        <w:br/>
        <w:t>[ENTONAÇÃO: REVELADORA E EXPLICATIVA]</w:t>
      </w:r>
    </w:p>
    <w:p w14:paraId="0000003D" w14:textId="77777777" w:rsidR="00FA7CF9" w:rsidRDefault="00000000">
      <w:pPr>
        <w:rPr>
          <w:color w:val="1F1F1F"/>
        </w:rPr>
      </w:pPr>
      <w:r>
        <w:rPr>
          <w:color w:val="1F1F1F"/>
        </w:rPr>
        <w:br/>
        <w:t xml:space="preserve">"Para concluir o diagnóstico, a análise da Grade G — a nossa pior nota de crédito, com </w:t>
      </w:r>
      <w:r>
        <w:rPr>
          <w:b/>
          <w:bCs/>
          <w:color w:val="1F1F1F"/>
        </w:rPr>
        <w:t>9.126 contratos</w:t>
      </w:r>
      <w:r>
        <w:rPr>
          <w:color w:val="1F1F1F"/>
        </w:rPr>
        <w:t xml:space="preserve"> e </w:t>
      </w:r>
      <w:r>
        <w:rPr>
          <w:b/>
          <w:bCs/>
          <w:color w:val="1F1F1F"/>
        </w:rPr>
        <w:t>196,4 milhões de dólares financiados</w:t>
      </w:r>
      <w:r>
        <w:rPr>
          <w:color w:val="1F1F1F"/>
        </w:rPr>
        <w:t xml:space="preserve"> — apresenta um caso atípico e altamente relevante de precificação por risco.</w:t>
      </w:r>
    </w:p>
    <w:p w14:paraId="0000003E" w14:textId="77777777" w:rsidR="00FA7CF9" w:rsidRDefault="00000000">
      <w:pPr>
        <w:rPr>
          <w:color w:val="1F1F1F"/>
        </w:rPr>
      </w:pPr>
      <w:r>
        <w:rPr>
          <w:color w:val="1F1F1F"/>
        </w:rPr>
        <w:t xml:space="preserve">Nesse grupo, o comportamento é o inverso das faixas de renda: no prazo curto de 36 meses, a Grade G opera no vermelho, com ROA de </w:t>
      </w:r>
      <w:r>
        <w:rPr>
          <w:b/>
          <w:bCs/>
          <w:color w:val="1F1F1F"/>
        </w:rPr>
        <w:t>-1,52%</w:t>
      </w:r>
      <w:r>
        <w:rPr>
          <w:color w:val="1F1F1F"/>
        </w:rPr>
        <w:t xml:space="preserve"> em 1.518 contratos e 23,1 milhões financiados — um prejuízo de </w:t>
      </w:r>
      <w:r>
        <w:rPr>
          <w:b/>
          <w:bCs/>
          <w:color w:val="1F1F1F"/>
        </w:rPr>
        <w:t>-$1,05 milhão</w:t>
      </w:r>
      <w:r>
        <w:rPr>
          <w:color w:val="1F1F1F"/>
        </w:rPr>
        <w:t xml:space="preserve">. Já no prazo de 60 meses, ela se </w:t>
      </w:r>
      <w:r>
        <w:rPr>
          <w:color w:val="1F1F1F"/>
        </w:rPr>
        <w:lastRenderedPageBreak/>
        <w:t xml:space="preserve">recupera: ROA de </w:t>
      </w:r>
      <w:r>
        <w:rPr>
          <w:b/>
          <w:bCs/>
          <w:color w:val="1F1F1F"/>
        </w:rPr>
        <w:t>+3,76%</w:t>
      </w:r>
      <w:r>
        <w:rPr>
          <w:color w:val="1F1F1F"/>
        </w:rPr>
        <w:t xml:space="preserve"> em 7.608 contratos e 173,3 milhões de dólares financiados, entregando </w:t>
      </w:r>
      <w:r>
        <w:rPr>
          <w:b/>
          <w:bCs/>
          <w:color w:val="1F1F1F"/>
        </w:rPr>
        <w:t>+$32,59 milhões</w:t>
      </w:r>
      <w:r>
        <w:rPr>
          <w:color w:val="1F1F1F"/>
        </w:rPr>
        <w:t xml:space="preserve"> em lucro líquido real.</w:t>
      </w:r>
    </w:p>
    <w:p w14:paraId="0000003F" w14:textId="77777777" w:rsidR="00FA7CF9" w:rsidRDefault="00000000">
      <w:pPr>
        <w:rPr>
          <w:color w:val="1F1F1F"/>
        </w:rPr>
      </w:pPr>
      <w:r>
        <w:rPr>
          <w:color w:val="1F1F1F"/>
        </w:rPr>
        <w:t xml:space="preserve">Essa discrepância vem da janela de acúmulo de juros: em 36 meses, o prazo é curto demais para os juros compensarem os calotes iniciais; em 60 meses, apesar de mais calotes em termos absolutos, a margem cobrada dos clientes em dia ao longo de 5 anos cobre as perdas e devolve </w:t>
      </w:r>
      <w:r>
        <w:rPr>
          <w:b/>
          <w:bCs/>
          <w:color w:val="1F1F1F"/>
        </w:rPr>
        <w:t>32,59 milhões de dólares</w:t>
      </w:r>
      <w:r>
        <w:rPr>
          <w:color w:val="1F1F1F"/>
        </w:rPr>
        <w:t xml:space="preserve"> em resultado líquido positivo. Isso prova que o problema não estava na aprovação da Grade G, e sim no prazo inadequado de 36 meses."</w:t>
      </w:r>
    </w:p>
    <w:p w14:paraId="00000040" w14:textId="77777777" w:rsidR="00FA7CF9" w:rsidRDefault="00000000">
      <w:pPr>
        <w:rPr>
          <w:color w:val="188038"/>
          <w:sz w:val="23"/>
          <w:szCs w:val="23"/>
          <w:shd w:val="clear" w:color="auto" w:fill="F2F0F0"/>
        </w:rPr>
      </w:pPr>
      <w:r>
        <w:rPr>
          <w:color w:val="188038"/>
          <w:sz w:val="23"/>
          <w:szCs w:val="23"/>
          <w:shd w:val="clear" w:color="auto" w:fill="F2F0F0"/>
        </w:rPr>
        <w:br/>
        <w:t>[PAUSA TÉCNICA DE 1 SEGUNDO — AVANÇAR SLIDE]</w:t>
      </w:r>
    </w:p>
    <w:p w14:paraId="00000041" w14:textId="77777777" w:rsidR="00FA7CF9" w:rsidRDefault="00000000">
      <w:pPr>
        <w:pStyle w:val="Heading3"/>
        <w:keepNext w:val="0"/>
        <w:keepLines w:val="0"/>
        <w:spacing w:before="0" w:after="0"/>
        <w:rPr>
          <w:b/>
          <w:bCs/>
          <w:color w:val="1F1F1F"/>
          <w:sz w:val="26"/>
          <w:szCs w:val="26"/>
        </w:rPr>
      </w:pPr>
      <w:bookmarkStart w:id="9" w:name="_bbblk7r0a6e5" w:colFirst="0" w:colLast="0"/>
      <w:bookmarkEnd w:id="9"/>
      <w:r>
        <w:rPr>
          <w:b/>
          <w:bCs/>
          <w:color w:val="1F1F1F"/>
          <w:sz w:val="26"/>
          <w:szCs w:val="26"/>
        </w:rPr>
        <w:br/>
        <w:t>SLIDE 11: PLANO DE AÇÃO ESTRATÉGICO</w:t>
      </w:r>
    </w:p>
    <w:p w14:paraId="00000042" w14:textId="77777777" w:rsidR="00FA7CF9" w:rsidRDefault="00000000">
      <w:pPr>
        <w:rPr>
          <w:color w:val="188038"/>
          <w:sz w:val="23"/>
          <w:szCs w:val="23"/>
          <w:shd w:val="clear" w:color="auto" w:fill="F2F0F0"/>
        </w:rPr>
      </w:pPr>
      <w:r>
        <w:rPr>
          <w:color w:val="188038"/>
          <w:sz w:val="23"/>
          <w:szCs w:val="23"/>
          <w:shd w:val="clear" w:color="auto" w:fill="F2F0F0"/>
        </w:rPr>
        <w:br/>
        <w:t>[ENTONAÇÃO: EXECUÇÃO, DECISÃO E RECOMENDAÇÃO C-LEVEL]</w:t>
      </w:r>
    </w:p>
    <w:p w14:paraId="00000043" w14:textId="77777777" w:rsidR="00FA7CF9" w:rsidRDefault="00000000">
      <w:pPr>
        <w:rPr>
          <w:color w:val="1F1F1F"/>
        </w:rPr>
      </w:pPr>
      <w:r>
        <w:rPr>
          <w:color w:val="1F1F1F"/>
        </w:rPr>
        <w:t>"Diante desses diagnósticos, apresento três recomendações práticas e acionáveis para o comitê, focadas no ajuste do nosso motor de concessão:</w:t>
      </w:r>
    </w:p>
    <w:p w14:paraId="00000044" w14:textId="77777777" w:rsidR="00FA7CF9" w:rsidRDefault="00000000">
      <w:pPr>
        <w:rPr>
          <w:color w:val="1F1F1F"/>
        </w:rPr>
      </w:pPr>
      <w:r>
        <w:rPr>
          <w:color w:val="1F1F1F"/>
        </w:rPr>
        <w:t xml:space="preserve">Primeiramente, a </w:t>
      </w:r>
      <w:r>
        <w:rPr>
          <w:b/>
          <w:bCs/>
          <w:color w:val="1F1F1F"/>
        </w:rPr>
        <w:t>Trava Cirúrgica Temporal</w:t>
      </w:r>
      <w:r>
        <w:rPr>
          <w:color w:val="1F1F1F"/>
        </w:rPr>
        <w:t xml:space="preserve">, que consiste em bloquear a opção de 60 meses para as Classes D e </w:t>
      </w:r>
      <w:proofErr w:type="spellStart"/>
      <w:r>
        <w:rPr>
          <w:color w:val="1F1F1F"/>
        </w:rPr>
        <w:t>E</w:t>
      </w:r>
      <w:proofErr w:type="spellEnd"/>
      <w:r>
        <w:rPr>
          <w:color w:val="1F1F1F"/>
        </w:rPr>
        <w:t xml:space="preserve">, direcionando 100% da originação para o prazo de 36 meses — evitando até </w:t>
      </w:r>
      <w:r>
        <w:rPr>
          <w:b/>
          <w:bCs/>
          <w:color w:val="1F1F1F"/>
        </w:rPr>
        <w:t>85,6 milhões de dólares</w:t>
      </w:r>
      <w:r>
        <w:rPr>
          <w:color w:val="1F1F1F"/>
        </w:rPr>
        <w:t xml:space="preserve"> em perdas por fadiga de prazo.</w:t>
      </w:r>
    </w:p>
    <w:p w14:paraId="00000045" w14:textId="77777777" w:rsidR="00FA7CF9" w:rsidRDefault="00000000">
      <w:pPr>
        <w:rPr>
          <w:color w:val="1F1F1F"/>
        </w:rPr>
      </w:pPr>
      <w:r>
        <w:rPr>
          <w:color w:val="1F1F1F"/>
        </w:rPr>
        <w:t xml:space="preserve">Em segundo lugar, a </w:t>
      </w:r>
      <w:r>
        <w:rPr>
          <w:b/>
          <w:bCs/>
          <w:color w:val="1F1F1F"/>
        </w:rPr>
        <w:t>Reprecificação do Miolo</w:t>
      </w:r>
      <w:r>
        <w:rPr>
          <w:color w:val="1F1F1F"/>
        </w:rPr>
        <w:t xml:space="preserve">, aplicando um ajuste de taxa de </w:t>
      </w:r>
      <w:r>
        <w:rPr>
          <w:b/>
          <w:bCs/>
          <w:color w:val="1F1F1F"/>
        </w:rPr>
        <w:t>+0,45 a +0,80 ponto percentual</w:t>
      </w:r>
      <w:r>
        <w:rPr>
          <w:color w:val="1F1F1F"/>
        </w:rPr>
        <w:t xml:space="preserve"> nas Grades C, D e </w:t>
      </w:r>
      <w:proofErr w:type="spellStart"/>
      <w:r>
        <w:rPr>
          <w:color w:val="1F1F1F"/>
        </w:rPr>
        <w:t>E</w:t>
      </w:r>
      <w:proofErr w:type="spellEnd"/>
      <w:r>
        <w:rPr>
          <w:color w:val="1F1F1F"/>
        </w:rPr>
        <w:t xml:space="preserve"> dentro do comprometimento de renda de 10% a 20%, resgatando diretamente até </w:t>
      </w:r>
      <w:r>
        <w:rPr>
          <w:b/>
          <w:bCs/>
          <w:color w:val="1F1F1F"/>
        </w:rPr>
        <w:t>123,75 milhões de dólares</w:t>
      </w:r>
      <w:r>
        <w:rPr>
          <w:color w:val="1F1F1F"/>
        </w:rPr>
        <w:t xml:space="preserve"> de margem.</w:t>
      </w:r>
    </w:p>
    <w:p w14:paraId="00000046" w14:textId="77777777" w:rsidR="00FA7CF9" w:rsidRDefault="00000000">
      <w:pPr>
        <w:rPr>
          <w:color w:val="1F1F1F"/>
        </w:rPr>
      </w:pPr>
      <w:r>
        <w:rPr>
          <w:color w:val="1F1F1F"/>
        </w:rPr>
        <w:t xml:space="preserve">Em terceiro lugar, a </w:t>
      </w:r>
      <w:r>
        <w:rPr>
          <w:b/>
          <w:bCs/>
          <w:color w:val="1F1F1F"/>
        </w:rPr>
        <w:t>Realocação da Grade G</w:t>
      </w:r>
      <w:r>
        <w:rPr>
          <w:color w:val="1F1F1F"/>
        </w:rPr>
        <w:t xml:space="preserve">, encerrando a oferta do prazo de 36 meses para essa nota de risco e canalizando 100% das propostas para o prazo de 60 meses — eliminando o prejuízo de </w:t>
      </w:r>
      <w:r>
        <w:rPr>
          <w:b/>
          <w:bCs/>
          <w:color w:val="1F1F1F"/>
        </w:rPr>
        <w:t>-$1,05 milhão</w:t>
      </w:r>
      <w:r>
        <w:rPr>
          <w:color w:val="1F1F1F"/>
        </w:rPr>
        <w:t xml:space="preserve"> do prazo curto e somando </w:t>
      </w:r>
      <w:r>
        <w:rPr>
          <w:b/>
          <w:bCs/>
          <w:color w:val="1F1F1F"/>
        </w:rPr>
        <w:t>+$4,3 milhões</w:t>
      </w:r>
      <w:r>
        <w:rPr>
          <w:color w:val="1F1F1F"/>
        </w:rPr>
        <w:t xml:space="preserve"> em ganho incremental. No total, essas três alavancas endereçam 123,75 milhões de dólares dos 299,5 milhões diagnosticados nesta carteira; os 175,75 milhões restantes — concentrados em subpopulações das Grades A/B, F/G e no segmento Sufocado — seguem para a nossa próxima fase de análise, com </w:t>
      </w:r>
      <w:proofErr w:type="spellStart"/>
      <w:r>
        <w:rPr>
          <w:color w:val="1F1F1F"/>
        </w:rPr>
        <w:t>repreciação</w:t>
      </w:r>
      <w:proofErr w:type="spellEnd"/>
      <w:r>
        <w:rPr>
          <w:color w:val="1F1F1F"/>
        </w:rPr>
        <w:t xml:space="preserve"> por </w:t>
      </w:r>
      <w:proofErr w:type="spellStart"/>
      <w:r>
        <w:rPr>
          <w:color w:val="1F1F1F"/>
        </w:rPr>
        <w:t>sub-grade</w:t>
      </w:r>
      <w:proofErr w:type="spellEnd"/>
      <w:r>
        <w:rPr>
          <w:color w:val="1F1F1F"/>
        </w:rPr>
        <w:t>."</w:t>
      </w:r>
    </w:p>
    <w:p w14:paraId="00000047" w14:textId="77777777" w:rsidR="00FA7CF9" w:rsidRDefault="00000000">
      <w:pPr>
        <w:rPr>
          <w:color w:val="188038"/>
          <w:sz w:val="23"/>
          <w:szCs w:val="23"/>
          <w:shd w:val="clear" w:color="auto" w:fill="F2F0F0"/>
        </w:rPr>
      </w:pPr>
      <w:r>
        <w:rPr>
          <w:color w:val="188038"/>
          <w:sz w:val="23"/>
          <w:szCs w:val="23"/>
          <w:shd w:val="clear" w:color="auto" w:fill="F2F0F0"/>
        </w:rPr>
        <w:br/>
        <w:t>[PAUSA TÉCNICA DE 1 SEGUNDO — AVANÇAR SLIDE]</w:t>
      </w:r>
    </w:p>
    <w:p w14:paraId="00000048" w14:textId="77777777" w:rsidR="00FA7CF9" w:rsidRDefault="00000000">
      <w:pPr>
        <w:pStyle w:val="Heading3"/>
        <w:keepNext w:val="0"/>
        <w:keepLines w:val="0"/>
        <w:spacing w:before="0" w:after="0"/>
        <w:rPr>
          <w:b/>
          <w:bCs/>
          <w:color w:val="1F1F1F"/>
          <w:sz w:val="26"/>
          <w:szCs w:val="26"/>
        </w:rPr>
      </w:pPr>
      <w:bookmarkStart w:id="10" w:name="_8vadm580c9w4" w:colFirst="0" w:colLast="0"/>
      <w:bookmarkEnd w:id="10"/>
      <w:r>
        <w:rPr>
          <w:b/>
          <w:bCs/>
          <w:color w:val="1F1F1F"/>
          <w:sz w:val="26"/>
          <w:szCs w:val="26"/>
        </w:rPr>
        <w:br/>
      </w:r>
      <w:r>
        <w:rPr>
          <w:b/>
          <w:bCs/>
          <w:color w:val="1F1F1F"/>
          <w:sz w:val="26"/>
          <w:szCs w:val="26"/>
        </w:rPr>
        <w:br/>
      </w:r>
      <w:r>
        <w:rPr>
          <w:b/>
          <w:bCs/>
          <w:color w:val="1F1F1F"/>
          <w:sz w:val="26"/>
          <w:szCs w:val="26"/>
        </w:rPr>
        <w:br/>
        <w:t>SLIDE 12: CONCLUSÃO &amp; PROJEÇÃO DE VALOR DESTRAVADO</w:t>
      </w:r>
    </w:p>
    <w:p w14:paraId="00000049" w14:textId="77777777" w:rsidR="00FA7CF9" w:rsidRDefault="00000000">
      <w:pPr>
        <w:rPr>
          <w:color w:val="188038"/>
          <w:sz w:val="23"/>
          <w:szCs w:val="23"/>
          <w:shd w:val="clear" w:color="auto" w:fill="F2F0F0"/>
        </w:rPr>
      </w:pPr>
      <w:r>
        <w:rPr>
          <w:color w:val="188038"/>
          <w:sz w:val="23"/>
          <w:szCs w:val="23"/>
          <w:shd w:val="clear" w:color="auto" w:fill="F2F0F0"/>
        </w:rPr>
        <w:br/>
        <w:t>[ENTONAÇÃO: CONFIANTE, CONCLUSIVA E ENERGETICAMENTE ALINHADA]</w:t>
      </w:r>
    </w:p>
    <w:p w14:paraId="0000004A" w14:textId="77777777" w:rsidR="00FA7CF9" w:rsidRDefault="00000000">
      <w:pPr>
        <w:rPr>
          <w:color w:val="1F1F1F"/>
        </w:rPr>
      </w:pPr>
      <w:r>
        <w:rPr>
          <w:color w:val="1F1F1F"/>
        </w:rPr>
        <w:br/>
        <w:t xml:space="preserve">"Em conclusão, esses dados demonstram que o caminho para maximizar o valor do </w:t>
      </w:r>
      <w:proofErr w:type="spellStart"/>
      <w:r>
        <w:rPr>
          <w:color w:val="1F1F1F"/>
        </w:rPr>
        <w:t>Happen</w:t>
      </w:r>
      <w:proofErr w:type="spellEnd"/>
      <w:r>
        <w:rPr>
          <w:color w:val="1F1F1F"/>
        </w:rPr>
        <w:t xml:space="preserve"> Bank não exige reduzir a nossa originação, e sim ajustar com precisão o prazo e o preço do Miolo da tabela.</w:t>
      </w:r>
    </w:p>
    <w:p w14:paraId="0000004B" w14:textId="77777777" w:rsidR="00FA7CF9" w:rsidRDefault="00000000">
      <w:pPr>
        <w:rPr>
          <w:color w:val="1F1F1F"/>
        </w:rPr>
      </w:pPr>
      <w:r>
        <w:rPr>
          <w:color w:val="1F1F1F"/>
        </w:rPr>
        <w:t xml:space="preserve">Executando essas três alavancas, a projeção indica uma elevação do ROA de </w:t>
      </w:r>
      <w:r>
        <w:rPr>
          <w:b/>
          <w:bCs/>
          <w:color w:val="1F1F1F"/>
        </w:rPr>
        <w:t>4,43% para 4,57% ao ano</w:t>
      </w:r>
      <w:r>
        <w:rPr>
          <w:color w:val="1F1F1F"/>
        </w:rPr>
        <w:t xml:space="preserve">, recuperando nesta primeira fase </w:t>
      </w:r>
      <w:r>
        <w:rPr>
          <w:b/>
          <w:bCs/>
          <w:color w:val="1F1F1F"/>
        </w:rPr>
        <w:t>123,75 milhões de dólares</w:t>
      </w:r>
      <w:r>
        <w:rPr>
          <w:color w:val="1F1F1F"/>
        </w:rPr>
        <w:t xml:space="preserve"> de margem, consolidando nossa posição no topo do mercado de alta rentabilidade. Dos 299,5 milhões diagnosticados, os 175,75 milhões restantes seguem para a segunda fase de reprecificação por subpopulação.</w:t>
      </w:r>
    </w:p>
    <w:p w14:paraId="0000004C" w14:textId="77777777" w:rsidR="00FA7CF9" w:rsidRDefault="00000000">
      <w:pPr>
        <w:rPr>
          <w:color w:val="1F1F1F"/>
        </w:rPr>
      </w:pPr>
      <w:r>
        <w:rPr>
          <w:color w:val="1F1F1F"/>
        </w:rPr>
        <w:lastRenderedPageBreak/>
        <w:t>Vale ressaltar que a engenharia de dados em SQL está concluída, os modelos estão validados e os painéis no Power BI estão prontos para acompanhar a execução por safra.</w:t>
      </w:r>
    </w:p>
    <w:p w14:paraId="0000004D" w14:textId="77777777" w:rsidR="00FA7CF9" w:rsidRDefault="00000000">
      <w:pPr>
        <w:rPr>
          <w:color w:val="188038"/>
          <w:sz w:val="23"/>
          <w:szCs w:val="23"/>
          <w:shd w:val="clear" w:color="auto" w:fill="F2F0F0"/>
        </w:rPr>
      </w:pPr>
      <w:r>
        <w:rPr>
          <w:color w:val="188038"/>
          <w:sz w:val="23"/>
          <w:szCs w:val="23"/>
          <w:shd w:val="clear" w:color="auto" w:fill="F2F0F0"/>
        </w:rPr>
        <w:br/>
        <w:t>[FIXAR OLHAR FIXO NA LENTE — SORRISO LEVE E PROFISSIONAL]</w:t>
      </w:r>
    </w:p>
    <w:p w14:paraId="0000004E" w14:textId="77777777" w:rsidR="00FA7CF9" w:rsidRDefault="00000000">
      <w:pPr>
        <w:rPr>
          <w:color w:val="1F1F1F"/>
        </w:rPr>
      </w:pPr>
      <w:r>
        <w:rPr>
          <w:color w:val="1F1F1F"/>
        </w:rPr>
        <w:br/>
        <w:t>Muito obrigado pela atenção."</w:t>
      </w:r>
    </w:p>
    <w:p w14:paraId="0000004F" w14:textId="77777777" w:rsidR="00FA7CF9" w:rsidRDefault="00FA7CF9"/>
    <w:sectPr w:rsidR="00FA7CF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E7471505-856C-4E22-B18E-B9C2EF7E7562}"/>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E8D67762-385B-49E4-8FB7-F5EC2230305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CF9"/>
    <w:rsid w:val="001E6C92"/>
    <w:rsid w:val="002D1B09"/>
    <w:rsid w:val="007E2F23"/>
    <w:rsid w:val="00946B81"/>
    <w:rsid w:val="00CD1134"/>
    <w:rsid w:val="00FA7CF9"/>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D782F"/>
  <w15:docId w15:val="{57E38739-7739-4954-904D-09E77F750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1930</Words>
  <Characters>10426</Characters>
  <Application>Microsoft Office Word</Application>
  <DocSecurity>0</DocSecurity>
  <Lines>86</Lines>
  <Paragraphs>24</Paragraphs>
  <ScaleCrop>false</ScaleCrop>
  <Company/>
  <LinksUpToDate>false</LinksUpToDate>
  <CharactersWithSpaces>12332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Thiago da Silva</cp:lastModifiedBy>
  <cp:revision>4</cp:revision>
  <cp:lastPrinted>2026-07-29T09:58:00Z</cp:lastPrinted>
  <dcterms:created xsi:type="dcterms:W3CDTF">2026-07-28T12:34:00Z</dcterms:created>
  <dcterms:modified xsi:type="dcterms:W3CDTF">2026-07-29T09:58:00Z</dcterms:modified>
</cp:coreProperties>
</file>