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641c53fb39721be4e6165e8f8342627008bfda"/>
    <w:p>
      <w:pPr>
        <w:pStyle w:val="Heading1"/>
      </w:pPr>
      <w:r>
        <w:t xml:space="preserve">ML-BOM (Machine Learning Bill of Materials)</w:t>
      </w:r>
    </w:p>
    <w:bookmarkStart w:id="9" w:name="overview"/>
    <w:p>
      <w:pPr>
        <w:pStyle w:val="Heading2"/>
      </w:pPr>
      <w:r>
        <w:t xml:space="preserve">Overview</w:t>
      </w:r>
    </w:p>
    <w:p>
      <w:pPr>
        <w:pStyle w:val="FirstParagraph"/>
      </w:pPr>
      <w:r>
        <w:t xml:space="preserve">An ML-BOM provides a structured inventory of a machine learning model’s components, dependencies, and usage guidelines. This transparency enables security auditing, compliance verification, and supply chain risk assessment.</w:t>
      </w:r>
    </w:p>
    <w:p>
      <w:r>
        <w:pict>
          <v:rect style="width:0;height:1.5pt" o:hralign="center" o:hrstd="t" o:hr="t"/>
        </w:pict>
      </w:r>
    </w:p>
    <w:bookmarkEnd w:id="9"/>
    <w:bookmarkStart w:id="13" w:name="model-information"/>
    <w:p>
      <w:pPr>
        <w:pStyle w:val="Heading2"/>
      </w:pPr>
      <w:r>
        <w:t xml:space="preserve">1. Model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rPr>
                <w:i/>
                <w:iCs/>
              </w:rPr>
              <w:t>Amazon Nova Lite</w:t>
            </w:r>
          </w:p>
        </w:tc>
      </w:tr>
      <w:tr>
        <w:tc>
          <w:tcPr/>
          <w:p>
            <w:pPr>
              <w:pStyle w:val="Compact"/>
            </w:pPr>
            <w:r>
              <w:rPr>
                <w:b/>
                <w:bCs/>
              </w:rPr>
              <w:t xml:space="preserve">Version</w:t>
            </w:r>
          </w:p>
        </w:tc>
        <w:tc>
          <w:tcPr/>
          <w:p>
            <w:pPr>
              <w:pStyle w:val="Compact"/>
            </w:pPr>
            <w:r>
              <w:rPr>
                <w:i/>
                <w:iCs/>
              </w:rPr>
              <w:t>amazon.nova-lite-v1:0</w:t>
            </w:r>
          </w:p>
        </w:tc>
      </w:tr>
      <w:tr>
        <w:tc>
          <w:tcPr/>
          <w:p>
            <w:pPr>
              <w:pStyle w:val="Compact"/>
            </w:pPr>
            <w:r>
              <w:rPr>
                <w:b/>
                <w:bCs/>
              </w:rPr>
              <w:t xml:space="preserve">Type</w:t>
            </w:r>
          </w:p>
        </w:tc>
        <w:tc>
          <w:tcPr/>
          <w:p>
            <w:pPr>
              <w:pStyle w:val="Compact"/>
            </w:pPr>
            <w:r>
              <w:rPr>
                <w:i/>
                <w:iCs/>
              </w:rPr>
              <w:t>Text generation (multimodal-capable; used text-only)</w:t>
            </w:r>
          </w:p>
        </w:tc>
      </w:tr>
      <w:tr>
        <w:tc>
          <w:tcPr/>
          <w:p>
            <w:pPr>
              <w:pStyle w:val="Compact"/>
            </w:pPr>
            <w:r>
              <w:rPr>
                <w:b/>
                <w:bCs/>
              </w:rPr>
              <w:t xml:space="preserve">Author</w:t>
            </w:r>
          </w:p>
        </w:tc>
        <w:tc>
          <w:tcPr/>
          <w:p>
            <w:pPr>
              <w:pStyle w:val="Compact"/>
            </w:pPr>
            <w:r>
              <w:rPr>
                <w:i/>
                <w:iCs/>
              </w:rPr>
              <w:t>Amazon Web Services</w:t>
            </w:r>
          </w:p>
        </w:tc>
      </w:tr>
      <w:tr>
        <w:tc>
          <w:tcPr/>
          <w:p>
            <w:pPr>
              <w:pStyle w:val="Compact"/>
            </w:pPr>
            <w:r>
              <w:rPr>
                <w:b/>
                <w:bCs/>
              </w:rPr>
              <w:t xml:space="preserve">Licenses</w:t>
            </w:r>
          </w:p>
        </w:tc>
        <w:tc>
          <w:tcPr/>
          <w:p>
            <w:pPr>
              <w:pStyle w:val="Compact"/>
            </w:pPr>
            <w:r>
              <w:rPr>
                <w:i/>
                <w:iCs/>
              </w:rPr>
              <w:t>Proprietary - AWS Service Terms (consumed as a managed service)</w:t>
            </w:r>
          </w:p>
        </w:tc>
      </w:tr>
      <w:tr>
        <w:tc>
          <w:tcPr/>
          <w:p>
            <w:pPr>
              <w:pStyle w:val="Compact"/>
            </w:pPr>
            <w:r>
              <w:rPr>
                <w:b/>
                <w:bCs/>
              </w:rPr>
              <w:t xml:space="preserve">Libraries</w:t>
            </w:r>
          </w:p>
        </w:tc>
        <w:tc>
          <w:tcPr/>
          <w:p>
            <w:pPr>
              <w:pStyle w:val="Compact"/>
            </w:pPr>
            <w:r>
              <w:rPr>
                <w:i/>
                <w:iCs/>
              </w:rPr>
              <w:t>None deployed. Accessed via bedrock-agent-runtime (boto3 &gt;= 1.35). No weights hosted.</w:t>
            </w:r>
          </w:p>
        </w:tc>
      </w:tr>
      <w:tr>
        <w:tc>
          <w:tcPr/>
          <w:p>
            <w:pPr>
              <w:pStyle w:val="Compact"/>
            </w:pPr>
            <w:r>
              <w:rPr>
                <w:b/>
                <w:bCs/>
              </w:rPr>
              <w:t xml:space="preserve">Source URL</w:t>
            </w:r>
          </w:p>
        </w:tc>
        <w:tc>
          <w:tcPr/>
          <w:p>
            <w:pPr>
              <w:pStyle w:val="Compact"/>
            </w:pPr>
            <w:r>
              <w:rPr>
                <w:i/>
                <w:iCs/>
              </w:rPr>
              <w:t>Amazon Bedrock managed endpoint - arn:aws:bedrock:us-east-1::foundation-model/amazon.nova-lite-v1:0</w:t>
            </w:r>
          </w:p>
        </w:tc>
      </w:tr>
    </w:tbl>
    <w:bookmarkStart w:id="10" w:name="bom-generation-optional"/>
    <w:p>
      <w:pPr>
        <w:pStyle w:val="Heading3"/>
      </w:pPr>
      <w:r>
        <w:t xml:space="preserve">1.1 BOM Generation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Generated Date</w:t>
            </w:r>
          </w:p>
        </w:tc>
        <w:tc>
          <w:tcPr/>
          <w:p>
            <w:r>
              <w:t>2026-08-24</w:t>
            </w:r>
          </w:p>
        </w:tc>
      </w:tr>
      <w:tr>
        <w:tc>
          <w:tcPr/>
          <w:p>
            <w:pPr>
              <w:pStyle w:val="Compact"/>
            </w:pPr>
            <w:r>
              <w:t xml:space="preserve">Generated By</w:t>
            </w:r>
          </w:p>
        </w:tc>
        <w:tc>
          <w:tcPr/>
          <w:p>
            <w:r>
              <w:t>Thiago M. Grabe (AI Security Engineer)</w:t>
            </w:r>
          </w:p>
        </w:tc>
      </w:tr>
      <w:tr>
        <w:tc>
          <w:tcPr/>
          <w:p>
            <w:pPr>
              <w:pStyle w:val="Compact"/>
            </w:pPr>
            <w:r>
              <w:t xml:space="preserve">Method/Tool</w:t>
            </w:r>
          </w:p>
        </w:tc>
        <w:tc>
          <w:tcPr/>
          <w:p>
            <w:r>
              <w:t>AWS CLI introspection of the live deployment (project/scripts/*.sh)</w:t>
            </w:r>
          </w:p>
        </w:tc>
      </w:tr>
    </w:tbl>
    <w:bookmarkEnd w:id="10"/>
    <w:bookmarkStart w:id="11" w:name="other-references-optional"/>
    <w:p>
      <w:pPr>
        <w:pStyle w:val="Heading3"/>
      </w:pPr>
      <w:r>
        <w:t xml:space="preserve">1.2 Other References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 Type</w:t>
            </w:r>
          </w:p>
        </w:tc>
        <w:tc>
          <w:tcPr/>
          <w:p>
            <w:pPr>
              <w:pStyle w:val="Compact"/>
            </w:pPr>
            <w:r>
              <w:t xml:space="preserve">URL/Link</w:t>
            </w:r>
          </w:p>
        </w:tc>
      </w:tr>
      <w:tr>
        <w:tc>
          <w:tcPr/>
          <w:p>
            <w:pPr>
              <w:pStyle w:val="Compact"/>
            </w:pPr>
            <w:r>
              <w:t xml:space="preserve">Paper</w:t>
            </w:r>
          </w:p>
        </w:tc>
        <w:tc>
          <w:tcPr/>
          <w:p>
            <w:r>
              <w:t>Not published by provider - training data and architecture undisclosed</w:t>
            </w:r>
          </w:p>
        </w:tc>
      </w:tr>
      <w:tr>
        <w:tc>
          <w:tcPr/>
          <w:p>
            <w:pPr>
              <w:pStyle w:val="Compact"/>
            </w:pPr>
            <w:r>
              <w:t xml:space="preserve">Website</w:t>
            </w:r>
          </w:p>
        </w:tc>
        <w:tc>
          <w:tcPr/>
          <w:p>
            <w:r>
              <w:t>https://aws.amazon.com/bedrock/</w:t>
            </w:r>
          </w:p>
        </w:tc>
      </w:tr>
      <w:tr>
        <w:tc>
          <w:tcPr/>
          <w:p>
            <w:pPr>
              <w:pStyle w:val="Compact"/>
            </w:pPr>
            <w:r>
              <w:t xml:space="preserve">Contact</w:t>
            </w:r>
          </w:p>
        </w:tc>
        <w:tc>
          <w:tcPr/>
          <w:p>
            <w:r>
              <w:t>Thiago M. Grabe - AI Security Engineer, Northstar Technologies</w:t>
            </w:r>
          </w:p>
        </w:tc>
      </w:tr>
    </w:tbl>
    <w:bookmarkEnd w:id="11"/>
    <w:bookmarkStart w:id="12" w:name="tags-optional"/>
    <w:p>
      <w:pPr>
        <w:pStyle w:val="Heading3"/>
      </w:pPr>
      <w:r>
        <w:t xml:space="preserve">1.3 Tags (Optional)</w:t>
      </w:r>
    </w:p>
    <w:p>
      <w:pPr>
        <w:pStyle w:val="FirstParagraph"/>
      </w:pPr>
      <w:r>
        <w:rPr>
          <w:i/>
          <w:iCs/>
        </w:rPr>
        <w:t>rag, retrieval-augmented-generation, internal-assistant, bedrock, knowledge-base, cd15147, northstar-assist</w:t>
      </w:r>
    </w:p>
    <w:p>
      <w:r>
        <w:pict>
          <v:rect style="width:0;height:1.5pt" o:hralign="center" o:hrstd="t" o:hr="t"/>
        </w:pict>
      </w:r>
    </w:p>
    <w:bookmarkEnd w:id="12"/>
    <w:bookmarkEnd w:id="13"/>
    <w:bookmarkStart w:id="20" w:name="model-architecture"/>
    <w:p>
      <w:pPr>
        <w:pStyle w:val="Heading2"/>
      </w:pPr>
      <w:r>
        <w:t xml:space="preserve">2. Model Architecture</w:t>
      </w:r>
    </w:p>
    <w:bookmarkStart w:id="14" w:name="training-datasets"/>
    <w:p>
      <w:pPr>
        <w:pStyle w:val="Heading3"/>
      </w:pPr>
      <w:r>
        <w:t xml:space="preserve">2.1 Training Datasets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 Name</w:t>
            </w:r>
          </w:p>
        </w:tc>
        <w:tc>
          <w:tcPr/>
          <w:p>
            <w:pPr>
              <w:pStyle w:val="Compact"/>
            </w:pPr>
            <w:r>
              <w:t xml:space="preserve">Source URL</w:t>
            </w:r>
          </w:p>
        </w:tc>
        <w:tc>
          <w:tcPr/>
          <w:p>
            <w:pPr>
              <w:pStyle w:val="Compact"/>
            </w:pPr>
            <w:r>
              <w:t xml:space="preserve">License</w:t>
            </w:r>
          </w:p>
        </w:tc>
        <w:tc>
          <w:tcPr/>
          <w:p>
            <w:pPr>
              <w:pStyle w:val="Compact"/>
            </w:pPr>
            <w:r>
              <w:t xml:space="preserve">Usage Notes</w:t>
            </w:r>
          </w:p>
        </w:tc>
      </w:tr>
      <w:tr>
        <w:tc>
          <w:tcPr/>
          <w:p>
            <w:pPr>
              <w:pStyle w:val="Compact"/>
            </w:pPr>
            <w:r>
              <w:rPr>
                <w:i/>
                <w:iCs/>
              </w:rPr>
              <w:t>NOT DISCLOSED BY PROVIDER</w:t>
            </w:r>
          </w:p>
        </w:tc>
        <w:tc>
          <w:tcPr/>
          <w:p>
            <w:r>
              <w:t>n/a</w:t>
            </w:r>
          </w:p>
        </w:tc>
        <w:tc>
          <w:tcPr/>
          <w:p>
            <w:r>
              <w:t>n/a</w:t>
            </w:r>
          </w:p>
        </w:tc>
        <w:tc>
          <w:tcPr/>
          <w:p>
            <w:r>
              <w:t>FINDING TG-1: Amazon does not publish Nova Lite training-data composition. Pretraining-layer poisoning, bias and provenance cannot be independently verified. Accepted risk with output-side compensating controls only (contextual grounding 0.75, PII filtering, denied topics). No Northstar data was used for training - the corpus is supplied as retrieval context at inference only; no fine-tuning was performed.</w:t>
            </w:r>
          </w:p>
        </w:tc>
      </w:tr>
      <w:tr>
        <w:tc>
          <w:tcPr/>
          <w:p>
            <w:pPr>
              <w:pStyle w:val="Compact"/>
            </w:pPr>
          </w:p>
        </w:tc>
        <w:tc>
          <w:tcPr/>
          <w:p>
            <w:pPr>
              <w:pStyle w:val="Compact"/>
            </w:pPr>
          </w:p>
        </w:tc>
        <w:tc>
          <w:tcPr/>
          <w:p>
            <w:pPr>
              <w:pStyle w:val="Compact"/>
            </w:pPr>
          </w:p>
        </w:tc>
        <w:tc>
          <w:tcPr/>
          <w:p>
            <w:pPr>
              <w:pStyle w:val="Compact"/>
            </w:pPr>
          </w:p>
        </w:tc>
      </w:tr>
    </w:tbl>
    <w:bookmarkEnd w:id="14"/>
    <w:bookmarkStart w:id="15" w:name="architecture-details"/>
    <w:p>
      <w:pPr>
        <w:pStyle w:val="Heading3"/>
      </w:pPr>
      <w:r>
        <w:t xml:space="preserve">2.2 Architecture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Architecture</w:t>
            </w:r>
          </w:p>
        </w:tc>
        <w:tc>
          <w:tcPr/>
          <w:p>
            <w:pPr>
              <w:pStyle w:val="Compact"/>
            </w:pPr>
            <w:r>
              <w:rPr>
                <w:i/>
                <w:iCs/>
              </w:rPr>
              <w:t>Not disclosed by provider (transformer-family assumed)</w:t>
            </w:r>
          </w:p>
        </w:tc>
      </w:tr>
      <w:tr>
        <w:tc>
          <w:tcPr/>
          <w:p>
            <w:pPr>
              <w:pStyle w:val="Compact"/>
            </w:pPr>
            <w:r>
              <w:rPr>
                <w:b/>
                <w:bCs/>
              </w:rPr>
              <w:t xml:space="preserve">Architecture Family</w:t>
            </w:r>
          </w:p>
        </w:tc>
        <w:tc>
          <w:tcPr/>
          <w:p>
            <w:pPr>
              <w:pStyle w:val="Compact"/>
            </w:pPr>
            <w:r>
              <w:rPr>
                <w:i/>
                <w:iCs/>
              </w:rPr>
              <w:t>Amazon Nova</w:t>
            </w:r>
          </w:p>
        </w:tc>
      </w:tr>
    </w:tbl>
    <w:bookmarkEnd w:id="15"/>
    <w:bookmarkStart w:id="16" w:name="model-lineage"/>
    <w:p>
      <w:pPr>
        <w:pStyle w:val="Heading3"/>
      </w:pPr>
      <w:r>
        <w:t xml:space="preserve">2.3 Model Lineage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Relationship</w:t>
            </w:r>
          </w:p>
        </w:tc>
        <w:tc>
          <w:tcPr/>
          <w:p>
            <w:pPr>
              <w:pStyle w:val="Compact"/>
            </w:pPr>
            <w:r>
              <w:t xml:space="preserve">Model Name</w:t>
            </w:r>
          </w:p>
        </w:tc>
        <w:tc>
          <w:tcPr/>
          <w:p>
            <w:pPr>
              <w:pStyle w:val="Compact"/>
            </w:pPr>
            <w:r>
              <w:t xml:space="preserve">Version</w:t>
            </w:r>
          </w:p>
        </w:tc>
        <w:tc>
          <w:tcPr/>
          <w:p>
            <w:pPr>
              <w:pStyle w:val="Compact"/>
            </w:pPr>
            <w:r>
              <w:t xml:space="preserve">Source URL</w:t>
            </w:r>
          </w:p>
        </w:tc>
      </w:tr>
      <w:tr>
        <w:tc>
          <w:tcPr/>
          <w:p>
            <w:pPr>
              <w:pStyle w:val="Compact"/>
            </w:pPr>
            <w:r>
              <w:t xml:space="preserve">Parent Model</w:t>
            </w:r>
          </w:p>
        </w:tc>
        <w:tc>
          <w:tcPr/>
          <w:p>
            <w:pPr>
              <w:pStyle w:val="Compact"/>
            </w:pPr>
            <w:r>
              <w:rPr>
                <w:i/>
                <w:iCs/>
              </w:rPr>
              <w:t>Not disclosed</w:t>
            </w:r>
          </w:p>
        </w:tc>
        <w:tc>
          <w:tcPr/>
          <w:p>
            <w:pPr>
              <w:pStyle w:val="Compact"/>
            </w:pPr>
          </w:p>
        </w:tc>
        <w:tc>
          <w:tcPr/>
          <w:p>
            <w:pPr>
              <w:pStyle w:val="Compact"/>
            </w:pPr>
          </w:p>
        </w:tc>
      </w:tr>
      <w:tr>
        <w:tc>
          <w:tcPr/>
          <w:p>
            <w:pPr>
              <w:pStyle w:val="Compact"/>
            </w:pPr>
            <w:r>
              <w:t xml:space="preserve">Base Model</w:t>
            </w:r>
          </w:p>
        </w:tc>
        <w:tc>
          <w:tcPr/>
          <w:p>
            <w:pPr>
              <w:pStyle w:val="Compact"/>
            </w:pPr>
            <w:r>
              <w:rPr>
                <w:i/>
                <w:iCs/>
              </w:rPr>
              <w:t>Not disclosed - no Northstar fine-tuning performed</w:t>
            </w:r>
          </w:p>
        </w:tc>
        <w:tc>
          <w:tcPr/>
          <w:p>
            <w:pPr>
              <w:pStyle w:val="Compact"/>
            </w:pPr>
          </w:p>
        </w:tc>
        <w:tc>
          <w:tcPr/>
          <w:p>
            <w:pPr>
              <w:pStyle w:val="Compact"/>
            </w:pPr>
          </w:p>
        </w:tc>
      </w:tr>
    </w:tbl>
    <w:bookmarkEnd w:id="16"/>
    <w:bookmarkStart w:id="17" w:name="inputoutput"/>
    <w:p>
      <w:pPr>
        <w:pStyle w:val="Heading3"/>
      </w:pPr>
      <w:r>
        <w:t xml:space="preserve">2.4 Input/Output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Input</w:t>
            </w:r>
          </w:p>
        </w:tc>
        <w:tc>
          <w:tcPr/>
          <w:p>
            <w:pPr>
              <w:pStyle w:val="Compact"/>
            </w:pPr>
            <w:r>
              <w:rPr>
                <w:i/>
                <w:iCs/>
              </w:rPr>
              <w:t>Text - system prompt template + retrieved passages + user turn</w:t>
            </w:r>
          </w:p>
        </w:tc>
      </w:tr>
      <w:tr>
        <w:tc>
          <w:tcPr/>
          <w:p>
            <w:pPr>
              <w:pStyle w:val="Compact"/>
            </w:pPr>
            <w:r>
              <w:rPr>
                <w:b/>
                <w:bCs/>
              </w:rPr>
              <w:t xml:space="preserve">Output</w:t>
            </w:r>
          </w:p>
        </w:tc>
        <w:tc>
          <w:tcPr/>
          <w:p>
            <w:pPr>
              <w:pStyle w:val="Compact"/>
            </w:pPr>
            <w:r>
              <w:rPr>
                <w:i/>
                <w:iCs/>
              </w:rPr>
              <w:t>Text - natural-language answer with citation spans attributed by Bedrock. Non-deterministic: security test results are probabilistic and must be re-run after any change.</w:t>
            </w:r>
          </w:p>
        </w:tc>
      </w:tr>
    </w:tbl>
    <w:bookmarkEnd w:id="17"/>
    <w:bookmarkStart w:id="18" w:name="hardware-software-optional"/>
    <w:p>
      <w:pPr>
        <w:pStyle w:val="Heading3"/>
      </w:pPr>
      <w:r>
        <w:t xml:space="preserve">2.5 Hardware &amp; Software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Details</w:t>
            </w:r>
          </w:p>
        </w:tc>
      </w:tr>
      <w:tr>
        <w:tc>
          <w:tcPr/>
          <w:p>
            <w:pPr>
              <w:pStyle w:val="Compact"/>
            </w:pPr>
            <w:r>
              <w:t xml:space="preserve">Hardware</w:t>
            </w:r>
          </w:p>
        </w:tc>
        <w:tc>
          <w:tcPr/>
          <w:p>
            <w:r>
              <w:t>AWS-managed; not exposed to the customer</w:t>
            </w:r>
          </w:p>
        </w:tc>
      </w:tr>
      <w:tr>
        <w:tc>
          <w:tcPr/>
          <w:p>
            <w:pPr>
              <w:pStyle w:val="Compact"/>
            </w:pPr>
            <w:r>
              <w:t xml:space="preserve">Software</w:t>
            </w:r>
          </w:p>
        </w:tc>
        <w:tc>
          <w:tcPr/>
          <w:p>
            <w:r>
              <w:t>Amazon Bedrock managed runtime. Client: boto3, python-dotenv, streamlit.</w:t>
            </w:r>
          </w:p>
        </w:tc>
      </w:tr>
    </w:tbl>
    <w:bookmarkEnd w:id="18"/>
    <w:bookmarkStart w:id="19" w:name="software-required-for-execution"/>
    <w:p>
      <w:pPr>
        <w:pStyle w:val="Heading3"/>
      </w:pPr>
      <w:r>
        <w:t xml:space="preserve">2.6 Software Required for Execution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Includes Executable Code</w:t>
            </w:r>
          </w:p>
        </w:tc>
        <w:tc>
          <w:tcPr/>
          <w:p>
            <w:pPr>
              <w:pStyle w:val="Compact"/>
            </w:pPr>
            <w:r>
              <w:rPr>
                <w:i/>
                <w:iCs/>
              </w:rPr>
              <w:t>False - no model code executes in the Northstar account</w:t>
            </w:r>
          </w:p>
        </w:tc>
      </w:tr>
      <w:tr>
        <w:tc>
          <w:tcPr/>
          <w:p>
            <w:pPr>
              <w:pStyle w:val="Compact"/>
            </w:pPr>
            <w:r>
              <w:rPr>
                <w:b/>
                <w:bCs/>
              </w:rPr>
              <w:t xml:space="preserve">Additional Dependencies</w:t>
            </w:r>
          </w:p>
        </w:tc>
        <w:tc>
          <w:tcPr/>
          <w:p>
            <w:pPr>
              <w:pStyle w:val="Compact"/>
            </w:pPr>
            <w:r>
              <w:rPr>
                <w:i/>
                <w:iCs/>
              </w:rPr>
              <w:t>None beyond the AWS SDK</w:t>
            </w:r>
          </w:p>
        </w:tc>
      </w:tr>
    </w:tbl>
    <w:p>
      <w:r>
        <w:pict>
          <v:rect style="width:0;height:1.5pt" o:hralign="center" o:hrstd="t" o:hr="t"/>
        </w:pict>
      </w:r>
    </w:p>
    <w:bookmarkEnd w:id="19"/>
    <w:bookmarkEnd w:id="20"/>
    <w:bookmarkStart w:id="24" w:name="usage"/>
    <w:p>
      <w:pPr>
        <w:pStyle w:val="Heading2"/>
      </w:pPr>
      <w:r>
        <w:t xml:space="preserve">3. Usage</w:t>
      </w:r>
    </w:p>
    <w:bookmarkStart w:id="21" w:name="intended-use"/>
    <w:p>
      <w:pPr>
        <w:pStyle w:val="Heading3"/>
      </w:pPr>
      <w:r>
        <w:t xml:space="preserve">3.1 Intended Use</w:t>
      </w:r>
    </w:p>
    <w:p>
      <w:pPr>
        <w:pStyle w:val="FirstParagraph"/>
      </w:pPr>
      <w:r>
        <w:rPr>
          <w:i/>
          <w:iCs/>
        </w:rPr>
        <w:t>Answering Northstar Technologies employee questions about internal policies, procedures, products and engineering documentation. Every answer is grounded in content retrieved from a 30-document internal corpus and cited to its source document. Deployed in account 638018627275 (us-east-1) behind Bedrock Knowledge Base 4BRS8V4CUR with guardrail mgyw8ekj4xf9 version 1.</w:t>
      </w:r>
    </w:p>
    <w:bookmarkEnd w:id="21"/>
    <w:bookmarkStart w:id="22" w:name="out-of-scope-usage"/>
    <w:p>
      <w:pPr>
        <w:pStyle w:val="Heading3"/>
      </w:pPr>
      <w:r>
        <w:t xml:space="preserve">3.2 Out of Scope Usage</w:t>
      </w:r>
    </w:p>
    <w:p>
      <w:pPr>
        <w:pStyle w:val="FirstParagraph"/>
      </w:pPr>
      <w:r>
        <w:rPr>
          <w:i/>
          <w:iCs/>
        </w:rPr>
        <w:t>Legal, medical, tax or personal financial advice (blocked by denied topic). Any question not answerable from the Northstar corpus - the assistant must state that it does not know rather than speculate. Autonomous action of any kind: there are no action groups, so the system can only answer questions. External or customer-facing use; the audience is internal employees only. Authoritative HR, compensation or legal decisions.</w:t>
      </w:r>
    </w:p>
    <w:bookmarkEnd w:id="22"/>
    <w:bookmarkStart w:id="23" w:name="misuse-or-malicious-use"/>
    <w:p>
      <w:pPr>
        <w:pStyle w:val="Heading3"/>
      </w:pPr>
      <w:r>
        <w:t xml:space="preserve">3.3 Misuse or Malicious Use</w:t>
      </w:r>
    </w:p>
    <w:p>
      <w:pPr>
        <w:pStyle w:val="FirstParagraph"/>
      </w:pPr>
      <w:r>
        <w:rPr>
          <w:i/>
          <w:iCs/>
        </w:rPr>
        <w:t>Harvesting employee personal data for phishing (mitigated by denied topic + PII anonymisation; this leaked six real email addresses in baseline testing). Extracting customer contract financials. Infrastructure reconnaissance via the AWS inventory (instance IDs leaked in baseline testing). Prompt injection or jailbreak to override system instructions. Indirect injection through poisoned corpus documents. Cost denial-of-service through token amplification. Reconstructing restricted records by aggregation across multiple turns - this remains a partially mitigated residual risk.</w:t>
      </w:r>
    </w:p>
    <w:p>
      <w:pPr>
        <w:pStyle w:val="Heading2"/>
      </w:pPr>
      <w:r>
        <w:t>4. Second Model - Amazon Titan Text Embeddings V2 (Encoder)</w:t>
      </w:r>
    </w:p>
    <w:p>
      <w:pPr>
        <w:pStyle w:val="BodyText"/>
      </w:pPr>
      <w:r>
        <w:t>Documented separately because it is NOT a generation model. It produces vectors, and its risks, controls and observability differ fundamentally from the model above.</w:t>
      </w:r>
    </w:p>
    <w:p>
      <w:pPr>
        <w:pStyle w:val="BodyText"/>
      </w:pPr>
      <w:r>
        <w:rPr>
          <w:b/>
        </w:rPr>
        <w:t xml:space="preserve">Name / Version: </w:t>
      </w:r>
      <w:r>
        <w:t>Amazon Titan Text Embeddings V2 - amazon.titan-embed-text-v2:0</w:t>
      </w:r>
    </w:p>
    <w:p>
      <w:pPr>
        <w:pStyle w:val="BodyText"/>
      </w:pPr>
      <w:r>
        <w:rPr>
          <w:b/>
        </w:rPr>
        <w:t xml:space="preserve">Type: </w:t>
      </w:r>
      <w:r>
        <w:t>Text embedding (encoder). Output is numeric, not language.</w:t>
      </w:r>
    </w:p>
    <w:p>
      <w:pPr>
        <w:pStyle w:val="BodyText"/>
      </w:pPr>
      <w:r>
        <w:rPr>
          <w:b/>
        </w:rPr>
        <w:t xml:space="preserve">Author / Licence: </w:t>
      </w:r>
      <w:r>
        <w:t>Amazon Web Services - Proprietary, AWS Service Terms</w:t>
      </w:r>
    </w:p>
    <w:p>
      <w:pPr>
        <w:pStyle w:val="BodyText"/>
      </w:pPr>
      <w:r>
        <w:rPr>
          <w:b/>
        </w:rPr>
        <w:t xml:space="preserve">Source: </w:t>
      </w:r>
      <w:r>
        <w:t>arn:aws:bedrock:us-east-1::foundation-model/amazon.titan-embed-text-v2:0</w:t>
      </w:r>
    </w:p>
    <w:p>
      <w:pPr>
        <w:pStyle w:val="BodyText"/>
      </w:pPr>
      <w:r>
        <w:rPr>
          <w:b/>
        </w:rPr>
        <w:t xml:space="preserve">Input / Output: </w:t>
      </w:r>
      <w:r>
        <w:t>Input: text chunk (~300 tokens) or user query. Output: 1024 float32 values. Deterministic for identical input.</w:t>
      </w:r>
    </w:p>
    <w:p>
      <w:pPr>
        <w:pStyle w:val="BodyText"/>
      </w:pPr>
      <w:r>
        <w:rPr>
          <w:b/>
        </w:rPr>
        <w:t xml:space="preserve">Architecture: </w:t>
      </w:r>
      <w:r>
        <w:t>Not disclosed (transformer encoder). Output dimensions 1024, float32, cosine distance. The vector index dimension must match this value exactly or ingestion fails.</w:t>
      </w:r>
    </w:p>
    <w:p>
      <w:pPr>
        <w:pStyle w:val="BodyText"/>
      </w:pPr>
      <w:r>
        <w:rPr>
          <w:b/>
        </w:rPr>
        <w:t xml:space="preserve">Training data: </w:t>
      </w:r>
      <w:r>
        <w:t>NOT DISCLOSED - FINDING TG-2. An embedding model's training data determines what it considers similar, so undisclosed training data means the retrieval behaviour itself is not auditable. There is no way to predict or verify which queries will surface a given confidential document; relevance can only be established empirically by testing. This is materially different from generation-side opacity.</w:t>
      </w:r>
    </w:p>
    <w:p>
      <w:pPr>
        <w:pStyle w:val="BodyText"/>
      </w:pPr>
      <w:r>
        <w:rPr>
          <w:b/>
        </w:rPr>
        <w:t xml:space="preserve">Intended use: </w:t>
      </w:r>
      <w:r>
        <w:t>Embedding the 30-document corpus and incoming queries for similarity retrieval. Out of scope: classification, clustering, decision-making, or generation of any kind.</w:t>
      </w:r>
    </w:p>
    <w:p>
      <w:pPr>
        <w:pStyle w:val="BodyText"/>
      </w:pPr>
      <w:r>
        <w:rPr>
          <w:b/>
        </w:rPr>
        <w:t xml:space="preserve">Misuse: </w:t>
      </w:r>
      <w:r>
        <w:t>Embedding-inversion attacks against the index; unauthorised bulk export of vectors.</w:t>
      </w:r>
    </w:p>
    <w:p>
      <w:pPr>
        <w:pStyle w:val="BodyText"/>
      </w:pPr>
      <w:r>
        <w:rPr>
          <w:b/>
        </w:rPr>
        <w:t xml:space="preserve">Software required for execution: </w:t>
      </w:r>
      <w:r>
        <w:t>False - no model code executes in the Northstar account.</w:t>
      </w:r>
    </w:p>
    <w:p>
      <w:pPr>
        <w:pStyle w:val="BodyText"/>
      </w:pPr>
      <w:r>
        <w:rPr>
          <w:b/>
        </w:rPr>
        <w:t xml:space="preserve">Distinct failure mode - the key point: </w:t>
      </w:r>
      <w:r>
        <w:t>The generation model fails by GENERATING something it should not, which leaves a visible, reviewable artifact. The encoder fails by RETRIEVING something it should not, silently, with no text artifact to inspect. Every control in the safety configuration operates on text; none inspects vector space. Guardrails never see the embedding step. This asymmetry is why excessive retrieval (threat I-1) is an architectural problem rather than a tuning one.</w:t>
      </w:r>
    </w:p>
    <w:p>
      <w:pPr>
        <w:pStyle w:val="BodyText"/>
      </w:pPr>
      <w:r>
        <w:rPr>
          <w:b/>
        </w:rPr>
        <w:t xml:space="preserve">Invertibility: </w:t>
      </w:r>
      <w:r>
        <w:t>Text embeddings are partially invertible, and Bedrock additionally stores each chunk's plaintext in the AMAZON_BEDROCK_TEXT metadata field. Read access to the vector index is therefore functionally equivalent to read access to the corpus, and the index must be classified accordingly.</w:t>
      </w:r>
    </w:p>
    <w:p>
      <w:pPr>
        <w:pStyle w:val="Heading2"/>
      </w:pPr>
      <w:r>
        <w:t>5. Supporting Components</w:t>
      </w:r>
    </w:p>
    <w:p>
      <w:pPr>
        <w:pStyle w:val="BodyText"/>
      </w:pPr>
      <w:r>
        <w:rPr>
          <w:b/>
        </w:rPr>
        <w:t xml:space="preserve">Knowledge source: </w:t>
      </w:r>
      <w:r>
        <w:t>30 synthetic Northstar documents across six formats (csv, docx, html, pdf, txt, xlsx - five each), stored at s3://northstar-kb-docs-638018627275/corpus/. Chunking FIXED_SIZE, 300 tokens, 20% overlap, producing 179 chunks. Ingestion result: 30 scanned, 30 indexed, 0 failed. Chunk size is a security parameter, not only a quality one: larger chunks pull more neighbouring records into model context.</w:t>
      </w:r>
    </w:p>
    <w:p>
      <w:pPr>
        <w:pStyle w:val="BodyText"/>
      </w:pPr>
      <w:r>
        <w:rPr>
          <w:b/>
        </w:rPr>
        <w:t xml:space="preserve">Document store: </w:t>
      </w:r>
      <w:r>
        <w:t>Amazon S3 bucket northstar-kb-docs-638018627275 - versioning enabled (forensic timeline for incident response), all four public-access blocks on, SSE-S3 default encryption.</w:t>
      </w:r>
    </w:p>
    <w:p>
      <w:pPr>
        <w:pStyle w:val="BodyText"/>
      </w:pPr>
      <w:r>
        <w:rPr>
          <w:b/>
        </w:rPr>
        <w:t xml:space="preserve">Vector store: </w:t>
      </w:r>
      <w:r>
        <w:t>Amazon S3 Vectors index northstar-kb-index, 1024 dimensions, cosine, float32, SSE-AES256. Declares nonFilterableMetadataKeys [AMAZON_BEDROCK_TEXT, AMAZON_BEDROCK_METADATA] - mandatory for Bedrock integration, because S3 Vectors caps filterable metadata at 2048 bytes and chunk text exceeds it. Without this, ingestion fails per document. Chosen over OpenSearch Serverless because it is pay-per-request rather than a standing hourly charge.</w:t>
      </w:r>
    </w:p>
    <w:p>
      <w:pPr>
        <w:pStyle w:val="BodyText"/>
      </w:pPr>
      <w:r>
        <w:rPr>
          <w:b/>
        </w:rPr>
        <w:t xml:space="preserve">Retrieval orchestration: </w:t>
      </w:r>
      <w:r>
        <w:t>Amazon Bedrock Knowledge Base 4BRS8V4CUR, S3 data source Y7I9CDZ5XD scoped to inclusionPrefixes ['corpus/'].</w:t>
      </w:r>
    </w:p>
    <w:p>
      <w:pPr>
        <w:pStyle w:val="BodyText"/>
      </w:pPr>
      <w:r>
        <w:rPr>
          <w:b/>
        </w:rPr>
        <w:t xml:space="preserve">Safety component: </w:t>
      </w:r>
      <w:r>
        <w:t>Amazon Bedrock Guardrail mgyw8ekj4xf9 version 1 - six content filters, five denied topics, eight PII entity types, four custom regex patterns, contextual grounding (0.75 / 0.60). Coverage gap: assesses text only and never inspects the embedding or retrieval step.</w:t>
      </w:r>
    </w:p>
    <w:p>
      <w:pPr>
        <w:pStyle w:val="BodyText"/>
      </w:pPr>
      <w:r>
        <w:rPr>
          <w:b/>
        </w:rPr>
        <w:t xml:space="preserve">Observability: </w:t>
      </w:r>
      <w:r>
        <w:t>Bedrock model invocation logging to CloudWatch log group /aws/bedrock/northstar-assist (30-day retention), three metric filters in the NorthstarAssist namespace, three alarms.</w:t>
      </w:r>
    </w:p>
    <w:p>
      <w:pPr>
        <w:pStyle w:val="BodyText"/>
      </w:pPr>
      <w:r>
        <w:rPr>
          <w:b/>
        </w:rPr>
        <w:t xml:space="preserve">Key IAM roles: </w:t>
      </w:r>
      <w:r>
        <w:t>NorthstarAssist-KnowledgeBaseRole (InvokeModel on the Titan ARN only; GetObject on corpus/*; ListBucket prefix-conditioned; six S3 Vectors data-plane actions on one index ARN). NorthstarAssist-AgentRole (Retrieve and RetrieveAndGenerate on knowledge base 4BRS8V4CUR; InvokeModel on the Nova Lite ARN; ApplyGuardrail on guardrail mgyw8ekj4xf9). NorthstarAssist-BedrockLoggingRole (CreateLogStream and PutLogEvents on a single log-stream ARN). All three carry aws:SourceAccount and aws:SourceArn trust conditions. Zero wildcard actions or resources remain in any policy.</w:t>
      </w:r>
    </w:p>
    <w:p>
      <w:pPr>
        <w:pStyle w:val="Heading2"/>
      </w:pPr>
      <w:r>
        <w:t>6. System Overview</w:t>
      </w:r>
    </w:p>
    <w:p>
      <w:pPr>
        <w:pStyle w:val="BodyText"/>
      </w:pPr>
      <w:r>
        <w:t>A question is embedded by Titan Text Embeddings V2 into a 1024-dimensional vector, matched by cosine similarity against an S3 Vectors index of 179 chunks drawn from 30 internal documents, and the retrieved passages are supplied to Amazon Nova Lite together with a system prompt template. Nova Lite composes a grounded answer, which Bedrock returns with citation spans mapped back to source documents. A Bedrock Guardrail assesses the user turn before generation and the response after it.</w:t>
      </w:r>
    </w:p>
    <w:p>
      <w:pPr>
        <w:pStyle w:val="BodyText"/>
      </w:pPr>
      <w:r>
        <w:t>The two models are complementary and independently fallible. The encoder decides WHAT the generation model gets to see; the generation model decides WHAT THE USER sees. A failure in the first is invisible - it surfaces no artifact - while a failure in the second is at least reviewable. Because the corpus deliberately contains employee PII, customer financials and infrastructure inventory in a single flat index with no per-user authorization, the encoder can legitimately retrieve confidential content for any authenticated user. The guardrail then blocks the response. This is filtering an over-broad retrieval surface rather than narrowing it, and it is the central architectural finding of the accompanying threat model.</w:t>
      </w:r>
    </w:p>
    <w:p>
      <w:pPr>
        <w:pStyle w:val="BodyText"/>
      </w:pPr>
      <w:r>
        <w:rPr>
          <w:b/>
        </w:rPr>
        <w:t xml:space="preserve">Transparency gap register: </w:t>
      </w:r>
      <w:r>
        <w:t>TG-1 Nova Lite training data undisclosed (accepted, output-side compensating controls). TG-2 Titan V2 training data undisclosed, so retrieval behaviour is not auditable (accepted, tested empirically). TG-3 architecture and parameters undisclosed for both. TG-4 model lineage undisclosed for both. TG-5 non-deterministic generation, mitigated by process - the full test suite is re-run after every change.</w:t>
      </w:r>
    </w:p>
    <w:p>
      <w:pPr>
        <w:pStyle w:val="BodyText"/>
      </w:pPr>
      <w:r>
        <w:rPr>
          <w:b/>
        </w:rPr>
        <w:t xml:space="preserve">Supply-chain note: </w:t>
      </w:r>
      <w:r>
        <w:t>No model weights, inference servers or ML frameworks are deployed in the Northstar account; every model is a managed endpoint. This removes a large class of supply-chain risk (malicious weights, vulnerable serving stacks) and replaces it with provider dependence and the transparency gaps above. Model availability is an entitlement, not a regional property: Claude 3.7 Sonnet was specified for this system but is not available in this account, so Amazon Nova Lite was substituted.</w:t>
      </w:r>
    </w:p>
    <w:p>
      <w:r>
        <w:pict>
          <v:rect style="width:0;height:1.5pt" o:hralign="center" o:hrstd="t" o:hr="t"/>
        </w:pict>
      </w:r>
    </w:p>
    <w:bookmarkEnd w:id="23"/>
    <w:bookmarkEnd w:id="24"/>
    <w:bookmarkStart w:id="25" w:name="attestation"/>
    <w:p>
      <w:pPr>
        <w:pStyle w:val="Heading2"/>
      </w:pPr>
      <w:r>
        <w:t xml:space="preserve">Attestation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t xml:space="preserve">Author</w:t>
            </w:r>
          </w:p>
        </w:tc>
        <w:tc>
          <w:tcPr/>
          <w:p>
            <w:r>
              <w:t>Thiago M. Grabe</w:t>
            </w:r>
          </w:p>
        </w:tc>
        <w:tc>
          <w:tcPr/>
          <w:p>
            <w:r>
              <w:t>2026-08-24</w:t>
            </w:r>
          </w:p>
        </w:tc>
      </w:tr>
      <w:tr>
        <w:tc>
          <w:tcPr/>
          <w:p>
            <w:pPr>
              <w:pStyle w:val="Compact"/>
            </w:pPr>
            <w:r>
              <w:t xml:space="preserve">Reviewer</w:t>
            </w:r>
          </w:p>
        </w:tc>
        <w:tc>
          <w:tcPr/>
          <w:p>
            <w:r>
              <w:t>(pending security lead review)</w:t>
            </w:r>
          </w:p>
        </w:tc>
        <w:tc>
          <w:tcPr/>
          <w:p>
            <w:pPr>
              <w:pStyle w:val="Compact"/>
            </w:pPr>
          </w:p>
        </w:tc>
      </w:tr>
    </w:tbl>
    <w:p>
      <w:r>
        <w:pict>
          <v:rect style="width:0;height:1.5pt" o:hralign="center" o:hrstd="t" o:hr="t"/>
        </w:pict>
      </w:r>
    </w:p>
    <w:bookmarkEnd w:id="25"/>
    <w:bookmarkStart w:id="26" w:name="references"/>
    <w:p>
      <w:pPr>
        <w:pStyle w:val="Heading2"/>
      </w:pPr>
      <w:r>
        <w:t xml:space="preserve">References</w:t>
      </w:r>
    </w:p>
    <w:p>
      <w:pPr>
        <w:pStyle w:val="Compact"/>
        <w:numPr>
          <w:ilvl w:val="0"/>
          <w:numId w:val="1001"/>
        </w:numPr>
      </w:pPr>
      <w:r>
        <w:t xml:space="preserve">CycloneDX ML-BOM Specification</w:t>
      </w:r>
    </w:p>
    <w:p>
      <w:pPr>
        <w:pStyle w:val="Compact"/>
        <w:numPr>
          <w:ilvl w:val="0"/>
          <w:numId w:val="1001"/>
        </w:numPr>
      </w:pPr>
      <w:r>
        <w:t xml:space="preserve">SPDX AI/ML Profile</w:t>
      </w:r>
    </w:p>
    <w:p>
      <w:pPr>
        <w:pStyle w:val="Compact"/>
        <w:numPr>
          <w:ilvl w:val="0"/>
          <w:numId w:val="1001"/>
        </w:numPr>
      </w:pPr>
      <w:r>
        <w:t xml:space="preserve">NIST AI Risk Management Framework</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2026-01-20T23:54:54Z</dcterms:created>
  <dcterms:modified xsi:type="dcterms:W3CDTF">2026-01-20T23:54:54Z</dcterms:modified>
</cp:coreProperties>
</file>

<file path=docProps/custom.xml><?xml version="1.0" encoding="utf-8"?>
<Properties xmlns="http://schemas.openxmlformats.org/officeDocument/2006/custom-properties" xmlns:vt="http://schemas.openxmlformats.org/officeDocument/2006/docPropsVTypes"/>
</file>