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tatement-of-work"/>
    <w:p>
      <w:pPr>
        <w:pStyle w:val="Heading1"/>
      </w:pPr>
      <w:r>
        <w:t xml:space="preserve">Statement of Work</w:t>
      </w:r>
    </w:p>
    <w:bookmarkStart w:id="9" w:name="X9d3df87c2be27e4bf43d914a8fa01c9b60863c8"/>
    <w:p>
      <w:pPr>
        <w:pStyle w:val="Heading2"/>
      </w:pPr>
      <w:r>
        <w:t xml:space="preserve">Northstar Technologies Professional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SOW Number:</w:t>
      </w:r>
      <w:r>
        <w:t xml:space="preserve"> </w:t>
      </w:r>
      <w:r>
        <w:t xml:space="preserve">PS-2023-0147</w:t>
      </w:r>
      <w:r>
        <w:t xml:space="preserve"> </w:t>
      </w:r>
      <w:r>
        <w:rPr>
          <w:b/>
          <w:bCs/>
        </w:rPr>
        <w:t xml:space="preserve">Customer:</w:t>
      </w:r>
      <w:r>
        <w:t xml:space="preserve"> </w:t>
      </w:r>
      <w:r>
        <w:t xml:space="preserve">Meridian Healthcare Systems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July 1, 2023</w:t>
      </w:r>
      <w:r>
        <w:t xml:space="preserve"> </w:t>
      </w:r>
      <w:r>
        <w:rPr>
          <w:b/>
          <w:bCs/>
        </w:rPr>
        <w:t xml:space="preserve">Project Duration:</w:t>
      </w:r>
      <w:r>
        <w:t xml:space="preserve"> </w:t>
      </w:r>
      <w:r>
        <w:t xml:space="preserve">12 weeks</w:t>
      </w:r>
    </w:p>
    <w:p>
      <w:r>
        <w:pict>
          <v:rect style="width:0;height:1.5pt" o:hralign="center" o:hrstd="t" o:hr="t"/>
        </w:pict>
      </w:r>
    </w:p>
    <w:bookmarkEnd w:id="9"/>
    <w:bookmarkStart w:id="10" w:name="parties"/>
    <w:p>
      <w:pPr>
        <w:pStyle w:val="Heading2"/>
      </w:pPr>
      <w:r>
        <w:t xml:space="preserve">1. Parties</w:t>
      </w:r>
    </w:p>
    <w:p>
      <w:pPr>
        <w:pStyle w:val="FirstParagraph"/>
      </w:pPr>
      <w:r>
        <w:rPr>
          <w:b/>
          <w:bCs/>
        </w:rPr>
        <w:t xml:space="preserve">Service Provider:</w:t>
      </w:r>
      <w:r>
        <w:t xml:space="preserve"> </w:t>
      </w:r>
      <w:r>
        <w:t xml:space="preserve">Northstar Technologies, Inc.</w:t>
      </w:r>
      <w:r>
        <w:t xml:space="preserve"> </w:t>
      </w:r>
      <w:r>
        <w:t xml:space="preserve">1234 Tech Avenue, Suite 500</w:t>
      </w:r>
      <w:r>
        <w:t xml:space="preserve"> </w:t>
      </w:r>
      <w:r>
        <w:t xml:space="preserve">Seattle, WA 98101</w:t>
      </w:r>
    </w:p>
    <w:p>
      <w:pPr>
        <w:pStyle w:val="BodyText"/>
      </w:pPr>
      <w:r>
        <w:rPr>
          <w:b/>
          <w:bCs/>
        </w:rPr>
        <w:t xml:space="preserve">Customer:</w:t>
      </w:r>
      <w:r>
        <w:t xml:space="preserve"> </w:t>
      </w:r>
      <w:r>
        <w:t xml:space="preserve">Meridian Healthcare Systems</w:t>
      </w:r>
      <w:r>
        <w:t xml:space="preserve"> </w:t>
      </w:r>
      <w:r>
        <w:t xml:space="preserve">5678 Medical Center Drive</w:t>
      </w:r>
      <w:r>
        <w:t xml:space="preserve"> </w:t>
      </w:r>
      <w:r>
        <w:t xml:space="preserve">Boston, MA 02108</w:t>
      </w:r>
    </w:p>
    <w:p>
      <w:r>
        <w:pict>
          <v:rect style="width:0;height:1.5pt" o:hralign="center" o:hrstd="t" o:hr="t"/>
        </w:pict>
      </w:r>
    </w:p>
    <w:bookmarkEnd w:id="10"/>
    <w:bookmarkStart w:id="13" w:name="project-overview"/>
    <w:p>
      <w:pPr>
        <w:pStyle w:val="Heading2"/>
      </w:pPr>
      <w:r>
        <w:t xml:space="preserve">2. Project Overview</w:t>
      </w:r>
    </w:p>
    <w:bookmarkStart w:id="11" w:name="background"/>
    <w:p>
      <w:pPr>
        <w:pStyle w:val="Heading3"/>
      </w:pPr>
      <w:r>
        <w:t xml:space="preserve">2.1 Background</w:t>
      </w:r>
    </w:p>
    <w:p>
      <w:pPr>
        <w:pStyle w:val="FirstParagraph"/>
      </w:pPr>
      <w:r>
        <w:t xml:space="preserve">Meridian Healthcare Systems (</w:t>
      </w:r>
      <w:r>
        <w:t xml:space="preserve">“Customer”</w:t>
      </w:r>
      <w:r>
        <w:t xml:space="preserve">) has purchased the Northstar Enterprise Platform and requires professional services assistance with implementation, integration, and training. This Statement of Work defines the scope, deliverables, timeline, and fees for these services.</w:t>
      </w:r>
    </w:p>
    <w:bookmarkEnd w:id="11"/>
    <w:bookmarkStart w:id="12" w:name="objectives"/>
    <w:p>
      <w:pPr>
        <w:pStyle w:val="Heading3"/>
      </w:pPr>
      <w:r>
        <w:t xml:space="preserve">2.2 Objectives</w:t>
      </w:r>
    </w:p>
    <w:p>
      <w:pPr>
        <w:pStyle w:val="Compact"/>
        <w:numPr>
          <w:ilvl w:val="0"/>
          <w:numId w:val="1001"/>
        </w:numPr>
      </w:pPr>
      <w:r>
        <w:t xml:space="preserve">Configure and deploy Northstar Platform for Customer’s environment</w:t>
      </w:r>
    </w:p>
    <w:p>
      <w:pPr>
        <w:pStyle w:val="Compact"/>
        <w:numPr>
          <w:ilvl w:val="0"/>
          <w:numId w:val="1001"/>
        </w:numPr>
      </w:pPr>
      <w:r>
        <w:t xml:space="preserve">Integrate with Customer’s existing EMR system (Epic)</w:t>
      </w:r>
    </w:p>
    <w:p>
      <w:pPr>
        <w:pStyle w:val="Compact"/>
        <w:numPr>
          <w:ilvl w:val="0"/>
          <w:numId w:val="1001"/>
        </w:numPr>
      </w:pPr>
      <w:r>
        <w:t xml:space="preserve">Migrate historical data from legacy reporting system</w:t>
      </w:r>
    </w:p>
    <w:p>
      <w:pPr>
        <w:pStyle w:val="Compact"/>
        <w:numPr>
          <w:ilvl w:val="0"/>
          <w:numId w:val="1001"/>
        </w:numPr>
      </w:pPr>
      <w:r>
        <w:t xml:space="preserve">Train Customer’s staff on platform usage and administration</w:t>
      </w:r>
    </w:p>
    <w:p>
      <w:pPr>
        <w:pStyle w:val="Compact"/>
        <w:numPr>
          <w:ilvl w:val="0"/>
          <w:numId w:val="1001"/>
        </w:numPr>
      </w:pPr>
      <w:r>
        <w:t xml:space="preserve">Establish HIPAA-compliant data handling procedures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cope-of-services"/>
    <w:p>
      <w:pPr>
        <w:pStyle w:val="Heading2"/>
      </w:pPr>
      <w:r>
        <w:t xml:space="preserve">3. Scope of Services</w:t>
      </w:r>
    </w:p>
    <w:bookmarkStart w:id="14" w:name="in-scope"/>
    <w:p>
      <w:pPr>
        <w:pStyle w:val="Heading3"/>
      </w:pPr>
      <w:r>
        <w:t xml:space="preserve">3.1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Requirements gathering, technical assessment, project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Platform setup, user roles, permissions,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Epic EMR integration via FHIR API, SSO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Legacy data extraction, transformation, validation,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UAT support, performance testing, security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Admin training (2 days), end-user training (3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Go-Live</w:t>
            </w:r>
          </w:p>
        </w:tc>
        <w:tc>
          <w:tcPr/>
          <w:p>
            <w:pPr>
              <w:pStyle w:val="Compact"/>
            </w:pPr>
            <w:r>
              <w:t xml:space="preserve">Production deployment, hypercare support (2 weeks)</w:t>
            </w:r>
          </w:p>
        </w:tc>
      </w:tr>
    </w:tbl>
    <w:bookmarkEnd w:id="14"/>
    <w:bookmarkStart w:id="15" w:name="out-of-scope"/>
    <w:p>
      <w:pPr>
        <w:pStyle w:val="Heading3"/>
      </w:pPr>
      <w:r>
        <w:t xml:space="preserve">3.2 Out of Scope</w:t>
      </w:r>
    </w:p>
    <w:p>
      <w:pPr>
        <w:pStyle w:val="FirstParagraph"/>
      </w:pPr>
      <w:r>
        <w:t xml:space="preserve">The following items are explicitly excluded from this engagement:</w:t>
      </w:r>
    </w:p>
    <w:p>
      <w:pPr>
        <w:pStyle w:val="Compact"/>
        <w:numPr>
          <w:ilvl w:val="0"/>
          <w:numId w:val="1002"/>
        </w:numPr>
      </w:pPr>
      <w:r>
        <w:t xml:space="preserve">Custom feature development</w:t>
      </w:r>
    </w:p>
    <w:p>
      <w:pPr>
        <w:pStyle w:val="Compact"/>
        <w:numPr>
          <w:ilvl w:val="0"/>
          <w:numId w:val="1002"/>
        </w:numPr>
      </w:pPr>
      <w:r>
        <w:t xml:space="preserve">Hardware procurement or setup</w:t>
      </w:r>
    </w:p>
    <w:p>
      <w:pPr>
        <w:pStyle w:val="Compact"/>
        <w:numPr>
          <w:ilvl w:val="0"/>
          <w:numId w:val="1002"/>
        </w:numPr>
      </w:pPr>
      <w:r>
        <w:t xml:space="preserve">Network infrastructure changes</w:t>
      </w:r>
    </w:p>
    <w:p>
      <w:pPr>
        <w:pStyle w:val="Compact"/>
        <w:numPr>
          <w:ilvl w:val="0"/>
          <w:numId w:val="1002"/>
        </w:numPr>
      </w:pPr>
      <w:r>
        <w:t xml:space="preserve">Third-party software licensing</w:t>
      </w:r>
    </w:p>
    <w:p>
      <w:pPr>
        <w:pStyle w:val="Compact"/>
        <w:numPr>
          <w:ilvl w:val="0"/>
          <w:numId w:val="1002"/>
        </w:numPr>
      </w:pPr>
      <w:r>
        <w:t xml:space="preserve">Ongoing managed services (separate agreement required)</w:t>
      </w:r>
    </w:p>
    <w:p>
      <w:pPr>
        <w:pStyle w:val="Compact"/>
        <w:numPr>
          <w:ilvl w:val="0"/>
          <w:numId w:val="1002"/>
        </w:numPr>
      </w:pPr>
      <w:r>
        <w:t xml:space="preserve">Integration with systems other than Epic EMR</w:t>
      </w:r>
    </w:p>
    <w:p>
      <w:pPr>
        <w:pStyle w:val="Compact"/>
        <w:numPr>
          <w:ilvl w:val="0"/>
          <w:numId w:val="1002"/>
        </w:numPr>
      </w:pPr>
      <w:r>
        <w:t xml:space="preserve">Data migration from sources other than specified legacy system</w:t>
      </w:r>
    </w:p>
    <w:bookmarkEnd w:id="15"/>
    <w:bookmarkStart w:id="16" w:name="assumptions"/>
    <w:p>
      <w:pPr>
        <w:pStyle w:val="Heading3"/>
      </w:pPr>
      <w:r>
        <w:t xml:space="preserve">3.3 Assumptions</w:t>
      </w:r>
    </w:p>
    <w:p>
      <w:pPr>
        <w:pStyle w:val="FirstParagraph"/>
      </w:pPr>
      <w:r>
        <w:t xml:space="preserve">This SOW is based on the following assumptions:</w:t>
      </w:r>
    </w:p>
    <w:p>
      <w:pPr>
        <w:pStyle w:val="Compact"/>
        <w:numPr>
          <w:ilvl w:val="0"/>
          <w:numId w:val="1003"/>
        </w:numPr>
      </w:pPr>
      <w:r>
        <w:t xml:space="preserve">Customer will provide timely access to systems, data, and personnel</w:t>
      </w:r>
    </w:p>
    <w:p>
      <w:pPr>
        <w:pStyle w:val="Compact"/>
        <w:numPr>
          <w:ilvl w:val="0"/>
          <w:numId w:val="1003"/>
        </w:numPr>
      </w:pPr>
      <w:r>
        <w:t xml:space="preserve">Customer’s Epic environment supports FHIR R4 API</w:t>
      </w:r>
    </w:p>
    <w:p>
      <w:pPr>
        <w:pStyle w:val="Compact"/>
        <w:numPr>
          <w:ilvl w:val="0"/>
          <w:numId w:val="1003"/>
        </w:numPr>
      </w:pPr>
      <w:r>
        <w:t xml:space="preserve">Legacy data is in a supported format (CSV, SQL export)</w:t>
      </w:r>
    </w:p>
    <w:p>
      <w:pPr>
        <w:pStyle w:val="Compact"/>
        <w:numPr>
          <w:ilvl w:val="0"/>
          <w:numId w:val="1003"/>
        </w:numPr>
      </w:pPr>
      <w:r>
        <w:t xml:space="preserve">Customer has dedicated project manager and technical resources</w:t>
      </w:r>
    </w:p>
    <w:p>
      <w:pPr>
        <w:pStyle w:val="Compact"/>
        <w:numPr>
          <w:ilvl w:val="0"/>
          <w:numId w:val="1003"/>
        </w:numPr>
      </w:pPr>
      <w:r>
        <w:t xml:space="preserve">Network connectivity between Customer and Northstar environments is available</w:t>
      </w:r>
    </w:p>
    <w:p>
      <w:pPr>
        <w:pStyle w:val="Compact"/>
        <w:numPr>
          <w:ilvl w:val="0"/>
          <w:numId w:val="1003"/>
        </w:numPr>
      </w:pPr>
      <w:r>
        <w:t xml:space="preserve">HIPAA Business Associate Agreement (BAA) is executed prior to work beginning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deliverables"/>
    <w:p>
      <w:pPr>
        <w:pStyle w:val="Heading2"/>
      </w:pPr>
      <w:r>
        <w:t xml:space="preserve">4. Deliverables</w:t>
      </w:r>
    </w:p>
    <w:bookmarkStart w:id="18" w:name="deliverables-list"/>
    <w:p>
      <w:pPr>
        <w:pStyle w:val="Heading3"/>
      </w:pPr>
      <w:r>
        <w:t xml:space="preserve">4.1 Deliverables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Project Plan</w:t>
            </w:r>
          </w:p>
        </w:tc>
        <w:tc>
          <w:tcPr/>
          <w:p>
            <w:pPr>
              <w:pStyle w:val="Compact"/>
            </w:pPr>
            <w:r>
              <w:t xml:space="preserve">Detailed project plan with milestones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Technical Design</w:t>
            </w:r>
          </w:p>
        </w:tc>
        <w:tc>
          <w:tcPr/>
          <w:p>
            <w:pPr>
              <w:pStyle w:val="Compact"/>
            </w:pPr>
            <w:r>
              <w:t xml:space="preserve">Architecture and integration design document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Configuration Guide</w:t>
            </w:r>
          </w:p>
        </w:tc>
        <w:tc>
          <w:tcPr/>
          <w:p>
            <w:pPr>
              <w:pStyle w:val="Compact"/>
            </w:pPr>
            <w:r>
              <w:t xml:space="preserve">Platform configuration documentation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Integration Specification</w:t>
            </w:r>
          </w:p>
        </w:tc>
        <w:tc>
          <w:tcPr/>
          <w:p>
            <w:pPr>
              <w:pStyle w:val="Compact"/>
            </w:pPr>
            <w:r>
              <w:t xml:space="preserve">Epic FHIR API integration details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Data Migration Report</w:t>
            </w:r>
          </w:p>
        </w:tc>
        <w:tc>
          <w:tcPr/>
          <w:p>
            <w:pPr>
              <w:pStyle w:val="Compact"/>
            </w:pPr>
            <w:r>
              <w:t xml:space="preserve">Data validation and mapping report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Test Plan &amp; Results</w:t>
            </w:r>
          </w:p>
        </w:tc>
        <w:tc>
          <w:tcPr/>
          <w:p>
            <w:pPr>
              <w:pStyle w:val="Compact"/>
            </w:pPr>
            <w:r>
              <w:t xml:space="preserve">UAT test cases and results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Admin and user training documentation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Operational procedures document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Go-Live Report</w:t>
            </w:r>
          </w:p>
        </w:tc>
        <w:tc>
          <w:tcPr/>
          <w:p>
            <w:pPr>
              <w:pStyle w:val="Compact"/>
            </w:pPr>
            <w:r>
              <w:t xml:space="preserve">Deployment summary and handoff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</w:tr>
    </w:tbl>
    <w:bookmarkEnd w:id="18"/>
    <w:bookmarkStart w:id="19" w:name="acceptance-criteria"/>
    <w:p>
      <w:pPr>
        <w:pStyle w:val="Heading3"/>
      </w:pPr>
      <w:r>
        <w:t xml:space="preserve">4.2 Acceptance Criteria</w:t>
      </w:r>
    </w:p>
    <w:p>
      <w:pPr>
        <w:pStyle w:val="Compact"/>
        <w:numPr>
          <w:ilvl w:val="0"/>
          <w:numId w:val="1004"/>
        </w:numPr>
      </w:pPr>
      <w:r>
        <w:t xml:space="preserve">All deliverables reviewed and approved by Customer within 5 business days</w:t>
      </w:r>
    </w:p>
    <w:p>
      <w:pPr>
        <w:pStyle w:val="Compact"/>
        <w:numPr>
          <w:ilvl w:val="0"/>
          <w:numId w:val="1004"/>
        </w:numPr>
      </w:pPr>
      <w:r>
        <w:t xml:space="preserve">Platform passes Customer’s security assessment</w:t>
      </w:r>
    </w:p>
    <w:p>
      <w:pPr>
        <w:pStyle w:val="Compact"/>
        <w:numPr>
          <w:ilvl w:val="0"/>
          <w:numId w:val="1004"/>
        </w:numPr>
      </w:pPr>
      <w:r>
        <w:t xml:space="preserve">Integration meets documented requirements with &lt; 1% error rate</w:t>
      </w:r>
    </w:p>
    <w:p>
      <w:pPr>
        <w:pStyle w:val="Compact"/>
        <w:numPr>
          <w:ilvl w:val="0"/>
          <w:numId w:val="1004"/>
        </w:numPr>
      </w:pPr>
      <w:r>
        <w:t xml:space="preserve">Data migration validated with 100% accuracy for critical fields</w:t>
      </w:r>
    </w:p>
    <w:p>
      <w:pPr>
        <w:pStyle w:val="Compact"/>
        <w:numPr>
          <w:ilvl w:val="0"/>
          <w:numId w:val="1004"/>
        </w:numPr>
      </w:pPr>
      <w:r>
        <w:t xml:space="preserve">Training completion certificates issued to all participants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roject-schedule"/>
    <w:p>
      <w:pPr>
        <w:pStyle w:val="Heading2"/>
      </w:pPr>
      <w:r>
        <w:t xml:space="preserve">5. Project Schedule</w:t>
      </w:r>
    </w:p>
    <w:bookmarkStart w:id="21" w:name="timeline-overview"/>
    <w:p>
      <w:pPr>
        <w:pStyle w:val="Heading3"/>
      </w:pPr>
      <w:r>
        <w:t xml:space="preserve">5.1 Timeline Overview</w:t>
      </w:r>
    </w:p>
    <w:p>
      <w:pPr>
        <w:pStyle w:val="SourceCode"/>
      </w:pPr>
      <w:r>
        <w:rPr>
          <w:rStyle w:val="VerbatimChar"/>
        </w:rPr>
        <w:t xml:space="preserve">Week 1-2:   Discovery &amp; Planning</w:t>
      </w:r>
      <w:r>
        <w:br/>
      </w:r>
      <w:r>
        <w:rPr>
          <w:rStyle w:val="VerbatimChar"/>
        </w:rPr>
        <w:t xml:space="preserve">Week 3-4:   Platform Configuration</w:t>
      </w:r>
      <w:r>
        <w:br/>
      </w:r>
      <w:r>
        <w:rPr>
          <w:rStyle w:val="VerbatimChar"/>
        </w:rPr>
        <w:t xml:space="preserve">Week 5-6:   Integration Development</w:t>
      </w:r>
      <w:r>
        <w:br/>
      </w:r>
      <w:r>
        <w:rPr>
          <w:rStyle w:val="VerbatimChar"/>
        </w:rPr>
        <w:t xml:space="preserve">Week 6-7:   Data Migration</w:t>
      </w:r>
      <w:r>
        <w:br/>
      </w:r>
      <w:r>
        <w:rPr>
          <w:rStyle w:val="VerbatimChar"/>
        </w:rPr>
        <w:t xml:space="preserve">Week 8:     Testing &amp; Validation</w:t>
      </w:r>
      <w:r>
        <w:br/>
      </w:r>
      <w:r>
        <w:rPr>
          <w:rStyle w:val="VerbatimChar"/>
        </w:rPr>
        <w:t xml:space="preserve">Week 9:     Training</w:t>
      </w:r>
      <w:r>
        <w:br/>
      </w:r>
      <w:r>
        <w:rPr>
          <w:rStyle w:val="VerbatimChar"/>
        </w:rPr>
        <w:t xml:space="preserve">Week 10-11: Go-Live Preparation</w:t>
      </w:r>
      <w:r>
        <w:br/>
      </w:r>
      <w:r>
        <w:rPr>
          <w:rStyle w:val="VerbatimChar"/>
        </w:rPr>
        <w:t xml:space="preserve">Week 12:    Go-Live &amp; Hypercare</w:t>
      </w:r>
    </w:p>
    <w:bookmarkEnd w:id="21"/>
    <w:bookmarkStart w:id="22" w:name="key-milestones"/>
    <w:p>
      <w:pPr>
        <w:pStyle w:val="Heading3"/>
      </w:pPr>
      <w:r>
        <w:t xml:space="preserve">5.2 Key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July 3, 2023</w:t>
            </w:r>
          </w:p>
        </w:tc>
        <w:tc>
          <w:tcPr/>
          <w:p>
            <w:pPr>
              <w:pStyle w:val="Compact"/>
            </w:pPr>
            <w:r>
              <w:t xml:space="preserve">Kickoff meeting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Approval</w:t>
            </w:r>
          </w:p>
        </w:tc>
        <w:tc>
          <w:tcPr/>
          <w:p>
            <w:pPr>
              <w:pStyle w:val="Compact"/>
            </w:pPr>
            <w:r>
              <w:t xml:space="preserve">July 14, 2023</w:t>
            </w:r>
          </w:p>
        </w:tc>
        <w:tc>
          <w:tcPr/>
          <w:p>
            <w:pPr>
              <w:pStyle w:val="Compact"/>
            </w:pPr>
            <w:r>
              <w:t xml:space="preserve">Technical design signed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Complete</w:t>
            </w:r>
          </w:p>
        </w:tc>
        <w:tc>
          <w:tcPr/>
          <w:p>
            <w:pPr>
              <w:pStyle w:val="Compact"/>
            </w:pPr>
            <w:r>
              <w:t xml:space="preserve">August 11, 2023</w:t>
            </w:r>
          </w:p>
        </w:tc>
        <w:tc>
          <w:tcPr/>
          <w:p>
            <w:pPr>
              <w:pStyle w:val="Compact"/>
            </w:pPr>
            <w:r>
              <w:t xml:space="preserve">API integration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Complete</w:t>
            </w:r>
          </w:p>
        </w:tc>
        <w:tc>
          <w:tcPr/>
          <w:p>
            <w:pPr>
              <w:pStyle w:val="Compact"/>
            </w:pPr>
            <w:r>
              <w:t xml:space="preserve">August 25, 2023</w:t>
            </w:r>
          </w:p>
        </w:tc>
        <w:tc>
          <w:tcPr/>
          <w:p>
            <w:pPr>
              <w:pStyle w:val="Compact"/>
            </w:pPr>
            <w:r>
              <w:t xml:space="preserve">All test cases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Complete</w:t>
            </w:r>
          </w:p>
        </w:tc>
        <w:tc>
          <w:tcPr/>
          <w:p>
            <w:pPr>
              <w:pStyle w:val="Compact"/>
            </w:pPr>
            <w:r>
              <w:t xml:space="preserve">September 1, 2023</w:t>
            </w:r>
          </w:p>
        </w:tc>
        <w:tc>
          <w:tcPr/>
          <w:p>
            <w:pPr>
              <w:pStyle w:val="Compact"/>
            </w:pPr>
            <w:r>
              <w:t xml:space="preserve">All users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</w:t>
            </w:r>
          </w:p>
        </w:tc>
        <w:tc>
          <w:tcPr/>
          <w:p>
            <w:pPr>
              <w:pStyle w:val="Compact"/>
            </w:pPr>
            <w:r>
              <w:t xml:space="preserve">September 15, 2023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Close</w:t>
            </w:r>
          </w:p>
        </w:tc>
        <w:tc>
          <w:tcPr/>
          <w:p>
            <w:pPr>
              <w:pStyle w:val="Compact"/>
            </w:pPr>
            <w:r>
              <w:t xml:space="preserve">September 22, 2023</w:t>
            </w:r>
          </w:p>
        </w:tc>
        <w:tc>
          <w:tcPr/>
          <w:p>
            <w:pPr>
              <w:pStyle w:val="Compact"/>
            </w:pPr>
            <w:r>
              <w:t xml:space="preserve">Final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roject-team"/>
    <w:p>
      <w:pPr>
        <w:pStyle w:val="Heading2"/>
      </w:pPr>
      <w:r>
        <w:t xml:space="preserve">6. Project Team</w:t>
      </w:r>
    </w:p>
    <w:bookmarkStart w:id="24" w:name="northstar-resources"/>
    <w:p>
      <w:pPr>
        <w:pStyle w:val="Heading3"/>
      </w:pPr>
      <w:r>
        <w:t xml:space="preserve">6.1 Northstar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Amanda Thompson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Solutions Architect</w:t>
            </w:r>
          </w:p>
        </w:tc>
        <w:tc>
          <w:tcPr/>
          <w:p>
            <w:pPr>
              <w:pStyle w:val="Compact"/>
            </w:pPr>
            <w:r>
              <w:t xml:space="preserve">Marcus Johnson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Engineer</w:t>
            </w:r>
          </w:p>
        </w:tc>
        <w:tc>
          <w:tcPr/>
          <w:p>
            <w:pPr>
              <w:pStyle w:val="Compact"/>
            </w:pPr>
            <w:r>
              <w:t xml:space="preserve">Jessica Walker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Priya Sharma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Specialist</w:t>
            </w:r>
          </w:p>
        </w:tc>
        <w:tc>
          <w:tcPr/>
          <w:p>
            <w:pPr>
              <w:pStyle w:val="Compact"/>
            </w:pPr>
            <w:r>
              <w:t xml:space="preserve">Kevin Wilson</w:t>
            </w:r>
          </w:p>
        </w:tc>
        <w:tc>
          <w:tcPr/>
          <w:p>
            <w:pPr>
              <w:pStyle w:val="Compact"/>
            </w:pPr>
            <w:r>
              <w:t xml:space="preserve">25% (Weeks 9-10)</w:t>
            </w:r>
          </w:p>
        </w:tc>
      </w:tr>
    </w:tbl>
    <w:bookmarkEnd w:id="24"/>
    <w:bookmarkStart w:id="25" w:name="customer-resources-required"/>
    <w:p>
      <w:pPr>
        <w:pStyle w:val="Heading3"/>
      </w:pPr>
      <w:r>
        <w:t xml:space="preserve">6.2 Customer Resources (Required)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Final decision authority,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Day-to-day coordination,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Technical decisions,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Administrator</w:t>
            </w:r>
          </w:p>
        </w:tc>
        <w:tc>
          <w:tcPr/>
          <w:p>
            <w:pPr>
              <w:pStyle w:val="Compact"/>
            </w:pPr>
            <w:r>
              <w:t xml:space="preserve">EMR integration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</w:pPr>
            <w:r>
              <w:t xml:space="preserve">Data validation,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 Representatives</w:t>
            </w:r>
          </w:p>
        </w:tc>
        <w:tc>
          <w:tcPr/>
          <w:p>
            <w:pPr>
              <w:pStyle w:val="Compact"/>
            </w:pPr>
            <w:r>
              <w:t xml:space="preserve">UAT participation,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icing-and-payment"/>
    <w:p>
      <w:pPr>
        <w:pStyle w:val="Heading2"/>
      </w:pPr>
      <w:r>
        <w:t xml:space="preserve">7. Pricing and Payment</w:t>
      </w:r>
    </w:p>
    <w:bookmarkStart w:id="27" w:name="fixed-fee"/>
    <w:p>
      <w:pPr>
        <w:pStyle w:val="Heading3"/>
      </w:pPr>
      <w:r>
        <w:t xml:space="preserve">7.1 Fixed Fee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Services (as described)</w:t>
            </w:r>
          </w:p>
        </w:tc>
        <w:tc>
          <w:tcPr/>
          <w:p>
            <w:pPr>
              <w:pStyle w:val="Compact"/>
            </w:pPr>
            <w:r>
              <w:t xml:space="preserve">$85,000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Expenses (estimated)</w:t>
            </w:r>
          </w:p>
        </w:tc>
        <w:tc>
          <w:tcPr/>
          <w:p>
            <w:pPr>
              <w:pStyle w:val="Compac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$93,500</w:t>
            </w:r>
          </w:p>
        </w:tc>
      </w:tr>
    </w:tbl>
    <w:bookmarkEnd w:id="27"/>
    <w:bookmarkStart w:id="28" w:name="payment-schedule"/>
    <w:p>
      <w:pPr>
        <w:pStyle w:val="Heading3"/>
      </w:pPr>
      <w:r>
        <w:t xml:space="preserve">7.2 Payment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$28,050 (30%)</w:t>
            </w:r>
          </w:p>
        </w:tc>
        <w:tc>
          <w:tcPr/>
          <w:p>
            <w:pPr>
              <w:pStyle w:val="Compact"/>
            </w:pPr>
            <w:r>
              <w:t xml:space="preserve">Upon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Approval</w:t>
            </w:r>
          </w:p>
        </w:tc>
        <w:tc>
          <w:tcPr/>
          <w:p>
            <w:pPr>
              <w:pStyle w:val="Compact"/>
            </w:pPr>
            <w:r>
              <w:t xml:space="preserve">$28,050 (30%)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</w:t>
            </w:r>
          </w:p>
        </w:tc>
        <w:tc>
          <w:tcPr/>
          <w:p>
            <w:pPr>
              <w:pStyle w:val="Compact"/>
            </w:pPr>
            <w:r>
              <w:t xml:space="preserve">$28,050 (30%)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Close</w:t>
            </w:r>
          </w:p>
        </w:tc>
        <w:tc>
          <w:tcPr/>
          <w:p>
            <w:pPr>
              <w:pStyle w:val="Compact"/>
            </w:pPr>
            <w:r>
              <w:t xml:space="preserve">$9,350 (10%)</w:t>
            </w:r>
          </w:p>
        </w:tc>
        <w:tc>
          <w:tcPr/>
          <w:p>
            <w:pPr>
              <w:pStyle w:val="Compact"/>
            </w:pPr>
            <w:r>
              <w:t xml:space="preserve">Upon acceptance</w:t>
            </w:r>
          </w:p>
        </w:tc>
      </w:tr>
    </w:tbl>
    <w:bookmarkEnd w:id="28"/>
    <w:bookmarkStart w:id="29" w:name="additional-services"/>
    <w:p>
      <w:pPr>
        <w:pStyle w:val="Heading3"/>
      </w:pPr>
      <w:r>
        <w:t xml:space="preserve">7.3 Additional Services</w:t>
      </w:r>
    </w:p>
    <w:p>
      <w:pPr>
        <w:pStyle w:val="FirstParagraph"/>
      </w:pPr>
      <w:r>
        <w:t xml:space="preserve">Services outside the scope of this SOW may be requested and will be provided at the following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Hourly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Solutions Architect</w:t>
            </w:r>
          </w:p>
        </w:tc>
        <w:tc>
          <w:tcPr/>
          <w:p>
            <w:pPr>
              <w:pStyle w:val="Compact"/>
            </w:pPr>
            <w:r>
              <w:t xml:space="preserve">$275/hour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Engineer</w:t>
            </w:r>
          </w:p>
        </w:tc>
        <w:tc>
          <w:tcPr/>
          <w:p>
            <w:pPr>
              <w:pStyle w:val="Compact"/>
            </w:pPr>
            <w:r>
              <w:t xml:space="preserve">$225/hour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$200/hour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$175/hour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Specialist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change-management"/>
    <w:p>
      <w:pPr>
        <w:pStyle w:val="Heading2"/>
      </w:pPr>
      <w:r>
        <w:t xml:space="preserve">8. Change Management</w:t>
      </w:r>
    </w:p>
    <w:bookmarkStart w:id="31" w:name="change-request-process"/>
    <w:p>
      <w:pPr>
        <w:pStyle w:val="Heading3"/>
      </w:pPr>
      <w:r>
        <w:t xml:space="preserve">8.1 Change Request Process</w:t>
      </w:r>
    </w:p>
    <w:p>
      <w:pPr>
        <w:pStyle w:val="Compact"/>
        <w:numPr>
          <w:ilvl w:val="0"/>
          <w:numId w:val="1005"/>
        </w:numPr>
      </w:pPr>
      <w:r>
        <w:t xml:space="preserve">Customer submits written change request</w:t>
      </w:r>
    </w:p>
    <w:p>
      <w:pPr>
        <w:pStyle w:val="Compact"/>
        <w:numPr>
          <w:ilvl w:val="0"/>
          <w:numId w:val="1005"/>
        </w:numPr>
      </w:pPr>
      <w:r>
        <w:t xml:space="preserve">Northstar assesses impact (scope, timeline, cost)</w:t>
      </w:r>
    </w:p>
    <w:p>
      <w:pPr>
        <w:pStyle w:val="Compact"/>
        <w:numPr>
          <w:ilvl w:val="0"/>
          <w:numId w:val="1005"/>
        </w:numPr>
      </w:pPr>
      <w:r>
        <w:t xml:space="preserve">Northstar provides change order for approval</w:t>
      </w:r>
    </w:p>
    <w:p>
      <w:pPr>
        <w:pStyle w:val="Compact"/>
        <w:numPr>
          <w:ilvl w:val="0"/>
          <w:numId w:val="1005"/>
        </w:numPr>
      </w:pPr>
      <w:r>
        <w:t xml:space="preserve">Both parties sign change order before work begins</w:t>
      </w:r>
    </w:p>
    <w:p>
      <w:pPr>
        <w:pStyle w:val="Compact"/>
        <w:numPr>
          <w:ilvl w:val="0"/>
          <w:numId w:val="1005"/>
        </w:numPr>
      </w:pPr>
      <w:r>
        <w:t xml:space="preserve">Project plan updated to reflect approved changes</w:t>
      </w:r>
    </w:p>
    <w:bookmarkEnd w:id="31"/>
    <w:bookmarkStart w:id="32" w:name="change-request-form"/>
    <w:p>
      <w:pPr>
        <w:pStyle w:val="Heading3"/>
      </w:pPr>
      <w:r>
        <w:t xml:space="preserve">8.2 Change Request Form</w:t>
      </w:r>
    </w:p>
    <w:p>
      <w:pPr>
        <w:pStyle w:val="FirstParagraph"/>
      </w:pPr>
      <w:r>
        <w:t xml:space="preserve">Change requests must include:</w:t>
      </w:r>
      <w:r>
        <w:t xml:space="preserve"> </w:t>
      </w:r>
      <w:r>
        <w:t xml:space="preserve">- Description of requested change</w:t>
      </w:r>
      <w:r>
        <w:t xml:space="preserve"> </w:t>
      </w:r>
      <w:r>
        <w:t xml:space="preserve">- Business justification</w:t>
      </w:r>
      <w:r>
        <w:t xml:space="preserve"> </w:t>
      </w:r>
      <w:r>
        <w:t xml:space="preserve">- Desired completion date</w:t>
      </w:r>
      <w:r>
        <w:t xml:space="preserve"> </w:t>
      </w:r>
      <w:r>
        <w:t xml:space="preserve">- Acceptance criteria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governance"/>
    <w:p>
      <w:pPr>
        <w:pStyle w:val="Heading2"/>
      </w:pPr>
      <w:r>
        <w:t xml:space="preserve">9. Governance</w:t>
      </w:r>
    </w:p>
    <w:bookmarkStart w:id="34" w:name="communication"/>
    <w:p>
      <w:pPr>
        <w:pStyle w:val="Heading3"/>
      </w:pPr>
      <w:r>
        <w:t xml:space="preserve">9.1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Update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Project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Sync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Technical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Executive Sponsors</w:t>
            </w:r>
          </w:p>
        </w:tc>
      </w:tr>
    </w:tbl>
    <w:bookmarkEnd w:id="34"/>
    <w:bookmarkStart w:id="35" w:name="reporting"/>
    <w:p>
      <w:pPr>
        <w:pStyle w:val="Heading3"/>
      </w:pPr>
      <w:r>
        <w:t xml:space="preserve">9.2 Reporting</w:t>
      </w:r>
    </w:p>
    <w:p>
      <w:pPr>
        <w:pStyle w:val="FirstParagraph"/>
      </w:pPr>
      <w:r>
        <w:t xml:space="preserve">Northstar will provide:</w:t>
      </w:r>
      <w:r>
        <w:t xml:space="preserve"> </w:t>
      </w:r>
      <w:r>
        <w:t xml:space="preserve">- Weekly status report (email)</w:t>
      </w:r>
      <w:r>
        <w:t xml:space="preserve"> </w:t>
      </w:r>
      <w:r>
        <w:t xml:space="preserve">- Risk and issue log (shared document)</w:t>
      </w:r>
      <w:r>
        <w:t xml:space="preserve"> </w:t>
      </w:r>
      <w:r>
        <w:t xml:space="preserve">- Milestone completion notifications</w:t>
      </w:r>
    </w:p>
    <w:bookmarkEnd w:id="35"/>
    <w:bookmarkStart w:id="36" w:name="escalation"/>
    <w:p>
      <w:pPr>
        <w:pStyle w:val="Heading3"/>
      </w:pPr>
      <w:r>
        <w:t xml:space="preserve">9.3 Escalation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Northstar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Director of PS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VP of Customer Success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terms-and-conditions"/>
    <w:p>
      <w:pPr>
        <w:pStyle w:val="Heading2"/>
      </w:pPr>
      <w:r>
        <w:t xml:space="preserve">10. Terms and Conditions</w:t>
      </w:r>
    </w:p>
    <w:bookmarkStart w:id="38" w:name="warranty"/>
    <w:p>
      <w:pPr>
        <w:pStyle w:val="Heading3"/>
      </w:pPr>
      <w:r>
        <w:t xml:space="preserve">10.1 Warranty</w:t>
      </w:r>
    </w:p>
    <w:p>
      <w:pPr>
        <w:pStyle w:val="FirstParagraph"/>
      </w:pPr>
      <w:r>
        <w:t xml:space="preserve">Northstar warrants that services will be performed in a professional manner consistent with industry standards. Any defects in deliverables will be corrected at no additional charge if reported within 30 days of delivery.</w:t>
      </w:r>
    </w:p>
    <w:bookmarkEnd w:id="38"/>
    <w:bookmarkStart w:id="39" w:name="limitation-of-liability"/>
    <w:p>
      <w:pPr>
        <w:pStyle w:val="Heading3"/>
      </w:pPr>
      <w:r>
        <w:t xml:space="preserve">10.2 Limitation of Liability</w:t>
      </w:r>
    </w:p>
    <w:p>
      <w:pPr>
        <w:pStyle w:val="FirstParagraph"/>
      </w:pPr>
      <w:r>
        <w:t xml:space="preserve">Northstar’s total liability under this SOW shall not exceed the total fees paid. Neither party shall be liable for indirect, incidental, or consequential damages.</w:t>
      </w:r>
    </w:p>
    <w:bookmarkEnd w:id="39"/>
    <w:bookmarkStart w:id="40" w:name="confidentiality"/>
    <w:p>
      <w:pPr>
        <w:pStyle w:val="Heading3"/>
      </w:pPr>
      <w:r>
        <w:t xml:space="preserve">10.3 Confidentiality</w:t>
      </w:r>
    </w:p>
    <w:p>
      <w:pPr>
        <w:pStyle w:val="FirstParagraph"/>
      </w:pPr>
      <w:r>
        <w:t xml:space="preserve">Both parties agree to maintain confidentiality of proprietary information disclosed during this engagement. Customer data will be handled in accordance with the executed BAA.</w:t>
      </w:r>
    </w:p>
    <w:bookmarkEnd w:id="40"/>
    <w:bookmarkStart w:id="41" w:name="termination"/>
    <w:p>
      <w:pPr>
        <w:pStyle w:val="Heading3"/>
      </w:pPr>
      <w:r>
        <w:t xml:space="preserve">10.4 Termination</w:t>
      </w:r>
    </w:p>
    <w:p>
      <w:pPr>
        <w:pStyle w:val="FirstParagraph"/>
      </w:pPr>
      <w:r>
        <w:t xml:space="preserve">Either party may terminate this SOW with 30 days written notice. Customer shall pay for all services rendered through the termination date.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ignatures"/>
    <w:p>
      <w:pPr>
        <w:pStyle w:val="Heading2"/>
      </w:pPr>
      <w:r>
        <w:t xml:space="preserve">11. Signatures</w:t>
      </w:r>
    </w:p>
    <w:p>
      <w:pPr>
        <w:pStyle w:val="FirstParagraph"/>
      </w:pPr>
      <w:r>
        <w:t xml:space="preserve">This Statement of Work is agreed to by:</w:t>
      </w:r>
    </w:p>
    <w:p>
      <w:pPr>
        <w:pStyle w:val="BodyText"/>
      </w:pPr>
      <w:r>
        <w:rPr>
          <w:b/>
          <w:bCs/>
        </w:rPr>
        <w:t xml:space="preserve">Northstar Technologies, Inc.</w:t>
      </w:r>
    </w:p>
    <w:p>
      <w:pPr>
        <w:pStyle w:val="BodyText"/>
      </w:pPr>
      <w:r>
        <w:t xml:space="preserve">Signature: _________________________</w:t>
      </w:r>
    </w:p>
    <w:p>
      <w:pPr>
        <w:pStyle w:val="BodyText"/>
      </w:pPr>
      <w:r>
        <w:t xml:space="preserve">Name: Lisa Anderson</w:t>
      </w:r>
    </w:p>
    <w:p>
      <w:pPr>
        <w:pStyle w:val="BodyText"/>
      </w:pPr>
      <w:r>
        <w:t xml:space="preserve">Title: Director of Customer Success</w:t>
      </w:r>
    </w:p>
    <w:p>
      <w:pPr>
        <w:pStyle w:val="BodyText"/>
      </w:pPr>
      <w:r>
        <w:t xml:space="preserve">Date: 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Meridian Healthcare Systems</w:t>
      </w:r>
    </w:p>
    <w:p>
      <w:pPr>
        <w:pStyle w:val="BodyText"/>
      </w:pPr>
      <w:r>
        <w:t xml:space="preserve">Signature: _________________________</w:t>
      </w:r>
    </w:p>
    <w:p>
      <w:pPr>
        <w:pStyle w:val="BodyText"/>
      </w:pPr>
      <w:r>
        <w:t xml:space="preserve">Name: John Patterson</w:t>
      </w:r>
    </w:p>
    <w:p>
      <w:pPr>
        <w:pStyle w:val="BodyText"/>
      </w:pPr>
      <w:r>
        <w:t xml:space="preserve">Title: Chief Information Officer</w:t>
      </w:r>
    </w:p>
    <w:p>
      <w:pPr>
        <w:pStyle w:val="BodyText"/>
      </w:pPr>
      <w:r>
        <w:t xml:space="preserve">Date: 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SOW is governed by the Master Services Agreement between the parties dated January 15, 2022.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2026-01-20T22:47:38Z</dcterms:created>
  <dcterms:modified xsi:type="dcterms:W3CDTF">2026-01-20T22:47:38Z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