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A1628"/>
          <w:sz w:val="56"/>
          <w:szCs w:val="56"/>
        </w:rPr>
        <w:t xml:space="preserve">Chat with Data</w:t>
      </w:r>
    </w:p>
    <w:p>
      <w:pPr>
        <w:spacing w:after="40" w:before="0"/>
        <w:jc w:val="center"/>
      </w:pPr>
      <w:r>
        <w:rPr>
          <w:color w:val="1B3A6B"/>
          <w:sz w:val="28"/>
          <w:szCs w:val="28"/>
        </w:rPr>
        <w:t xml:space="preserve">In-RAM Single-Server Edition — Architecture, Server Setup &amp; Cost</w:t>
      </w:r>
    </w:p>
    <w:p>
      <w:pPr>
        <w:spacing w:after="240" w:before="0"/>
        <w:jc w:val="center"/>
      </w:pPr>
      <w:r>
        <w:rPr>
          <w:color w:val="4A5568"/>
          <w:sz w:val="22"/>
          <w:szCs w:val="22"/>
        </w:rPr>
        <w:t xml:space="preserve">Technical Architecture Documentation</w:t>
      </w:r>
    </w:p>
    <w:p>
      <w:pPr>
        <w:spacing w:after="20" w:before="0"/>
        <w:jc w:val="center"/>
      </w:pPr>
      <w:r>
        <w:rPr>
          <w:color w:val="4A5568"/>
          <w:sz w:val="20"/>
          <w:szCs w:val="20"/>
        </w:rPr>
        <w:t xml:space="preserve">Deployment Option 1 — everything held in server RAM (stateful)</w:t>
      </w:r>
    </w:p>
    <w:p>
      <w:pPr>
        <w:spacing w:after="20" w:before="0"/>
        <w:jc w:val="center"/>
      </w:pPr>
      <w:r>
        <w:rPr>
          <w:color w:val="4A5568"/>
          <w:sz w:val="20"/>
          <w:szCs w:val="20"/>
        </w:rPr>
        <w:t xml:space="preserve">Scope: Standard and Variance modes</w:t>
      </w:r>
    </w:p>
    <w:p>
      <w:pPr>
        <w:spacing w:after="20" w:before="0"/>
        <w:jc w:val="center"/>
      </w:pPr>
      <w:r>
        <w:rPr>
          <w:color w:val="4A5568"/>
          <w:sz w:val="20"/>
          <w:szCs w:val="20"/>
        </w:rPr>
        <w:t xml:space="preserve">AI Solution Architect: Thiago Alvares</w:t>
      </w:r>
    </w:p>
    <w:p>
      <w:pPr>
        <w:spacing w:after="120" w:before="0"/>
        <w:jc w:val="center"/>
      </w:pPr>
      <w:r>
        <w:rPr>
          <w:color w:val="4A5568"/>
          <w:sz w:val="20"/>
          <w:szCs w:val="20"/>
        </w:rPr>
        <w:t xml:space="preserve">Document Version 1.0  ·  Prepared July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Overview</w:t>
      </w:r>
    </w:p>
    <w:p>
      <w:pPr>
        <w:spacing w:after="120" w:before="0"/>
      </w:pPr>
      <w:r>
        <w:t xml:space="preserve">Chat with Data is an AI-powered analysis application that answers plain-English questions about uploaded data files. It uses a language model to translate each question into Python (pandas) code, executes that code against the user's data, and then uses the model a second time to turn the computed result into a clear written answer with an optional chart. Every number is computed by executed code, not estimated, and a debug trace makes each step auditable.</w:t>
      </w:r>
    </w:p>
    <w:p>
      <w:pPr>
        <w:spacing w:after="120" w:before="0"/>
      </w:pPr>
      <w:r>
        <w:t xml:space="preserve">This document describes the In-RAM Single-Server Edition — Deployment Option 1. In this edition the Python micro-service keeps all session state (each user's uploaded data, schema, conversation history, and last result) in the server's memory, so follow-up questions are answered quickly without reloading anything from disk or a database. It is the simplest and lowest-cost way to run the application and is well suited to a small user base and a fast go-live. It carries forward the Standard and Variance analysis modes.</w:t>
      </w:r>
    </w:p>
    <w:p>
      <w:pPr>
        <w:spacing w:after="80" w:before="0"/>
      </w:pPr>
      <w:r>
        <w:t xml:space="preserve">This edition is a copy of the base application (the .NET front end + Python micro-service) with only the few files that control single-server, in-memory behavior changed. The analytical core is unchanged.</w:t>
      </w:r>
    </w:p>
    <w:p>
      <w:pPr>
        <w:pStyle w:val="Heading1"/>
      </w:pPr>
      <w:r>
        <w:t xml:space="preserve">2.  How the Application Works</w:t>
      </w:r>
    </w:p>
    <w:p>
      <w:pPr>
        <w:spacing w:after="80" w:before="120"/>
        <w:jc w:val="center"/>
      </w:pPr>
      <w:r>
        <w:drawing>
          <wp:inline distT="0" distB="0" distL="0" distR="0">
            <wp:extent cx="6000750" cy="325755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4A5568"/>
          <w:sz w:val="18"/>
          <w:szCs w:val="18"/>
        </w:rPr>
        <w:t xml:space="preserve">Figure 1 — In-RAM single-server architecture. All session state lives in the Python process memory.</w:t>
      </w:r>
    </w:p>
    <w:p>
      <w:pPr>
        <w:pStyle w:val="Heading2"/>
      </w:pPr>
      <w:r>
        <w:t xml:space="preserve">2.1  Two layers</w:t>
      </w:r>
    </w:p>
    <w:p>
      <w:pPr>
        <w:spacing w:after="120" w:before="0"/>
      </w:pPr>
      <w:r>
        <w:t xml:space="preserve">A .NET (ASP.NET Core) front end owns the user interface and the per-user session, and forwards all data work to the Python micro-service over the local network. It contains no analytical logic. The Python micro-service runs the analysis. Keeping the two separate lets each technology do what it does best; in this edition both run on the same server.</w:t>
      </w:r>
    </w:p>
    <w:p>
      <w:pPr>
        <w:pStyle w:val="Heading2"/>
      </w:pPr>
      <w:r>
        <w:t xml:space="preserve">2.2  The two-call pipeline</w:t>
      </w:r>
    </w:p>
    <w:p>
      <w:pPr>
        <w:spacing w:after="120" w:before="0"/>
      </w:pPr>
      <w:r>
        <w:t xml:space="preserve">For each question the service makes two model calls. Call 1 (temperature 0) turns the question, the data schema, and recent context into pandas code. That code executes against the in-memory DataFrame(s). Call 2 (temperature 0.3) turns the computed result into a plain-English answer and, when useful, a chart specification. Because the arithmetic is performed by executed pandas code, the numbers are computed rather than estimated.</w:t>
      </w:r>
    </w:p>
    <w:p>
      <w:pPr>
        <w:pStyle w:val="Heading2"/>
      </w:pPr>
      <w:r>
        <w:t xml:space="preserve">2.3  In-RAM stateful sessions</w:t>
      </w:r>
    </w:p>
    <w:p>
      <w:pPr>
        <w:spacing w:after="120" w:before="0"/>
      </w:pPr>
      <w:r>
        <w:t xml:space="preserve">The defining characteristic of this edition is that session state is held in the Python process's memory, keyed by the session id the .NET layer supplies in an X-Session-Id header. When a user asks a follow-up question, the service reuses the DataFrame and conversation already in memory — there is no reload from disk or a database — which is what makes responses fast. For this to work the service runs as a single process; concurrency within that process comes from threads, which is efficient here because each request spends most of its time waiting on the LLM gateway.</w:t>
      </w:r>
    </w:p>
    <w:p>
      <w:pPr>
        <w:pStyle w:val="Heading2"/>
      </w:pPr>
      <w:r>
        <w:t xml:space="preserve">2.4  Request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browser calls the .NET app (upload, ask, export).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.NET app resolves the user's session cookie and forwards the request to the Python service on localhost with the X-Session-Id header.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runs the two-call pipeline, using and updating the session state held in RAM.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answer, optional chart, and debug trace (or an Excel/PNG file) are relayed back to the browser.</w:t>
      </w:r>
    </w:p>
    <w:p>
      <w:pPr>
        <w:pStyle w:val="Heading1"/>
      </w:pPr>
      <w:r>
        <w:t xml:space="preserve">3.  Why In-RAM — and the Trade-offs</w:t>
      </w:r>
    </w:p>
    <w:p>
      <w:pPr>
        <w:spacing w:after="120" w:before="0"/>
      </w:pPr>
      <w:r>
        <w:t xml:space="preserve">Holding state in memory gives the fastest possible follow-up experience and the simplest possible infrastructure: no database, no file share, and no load balancer to run. For a small user base this is ideal. The trade-offs are inherent to a single in-memory server and are acceptable at this scale: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server, no redundancy — if the server is down, the app is unavailable until it restarts.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restart clears active sessions — users re-upload their file. No user data is persisted to disk, which is also a simplicity and privacy benefit.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scales up (a larger server), not out. To serve many more users with redundancy, move to the scale-out edition (SQL Server + network file share + multiple instances behind a load balancer).</w:t>
      </w:r>
    </w:p>
    <w:p>
      <w:pPr>
        <w:pStyle w:val="Heading1"/>
      </w:pPr>
      <w:r>
        <w:t xml:space="preserve">4.  Features</w:t>
      </w:r>
    </w:p>
    <w:p>
      <w:pPr>
        <w:spacing w:after="120" w:before="0"/>
      </w:pPr>
      <w:r>
        <w:t xml:space="preserve">All capabilities are carried over from the validated application and verified in this edition.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 mode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Plain-English analysis of a single uploaded file.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Variance mode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Compares two labeled datasets on a user-defined key; finds new/missing/changed records and computes variances.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Charts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Automatic Chart.js visuals when useful.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 to Excel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Downloads the last query result as .xlsx.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 raw query data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Exports the data as the model saw it, multi-sheet when applicable.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 visuals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Downloads any chart as a PNG image.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 Query and Calculations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Reveals the generated code, intermediate result, and final answer for full auditability.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Follow-up questions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Reuse the in-RAM data and conversation for fast, contextual answers.</w:t>
            </w:r>
          </w:p>
        </w:tc>
      </w:tr>
    </w:tbl>
    <w:p>
      <w:pPr>
        <w:pStyle w:val="Heading1"/>
      </w:pPr>
      <w:r>
        <w:t xml:space="preserve">5.  Server Configuration Required</w:t>
      </w:r>
    </w:p>
    <w:p>
      <w:pPr>
        <w:spacing w:after="120" w:before="0"/>
      </w:pPr>
      <w:r>
        <w:t xml:space="preserve">Everything runs on one Windows server. The .NET app is hosted by IIS and serves users; the Python service runs as a single-process Windows service and is reachable only on localhost. They communicate over the loopback interface.</w:t>
      </w:r>
    </w:p>
    <w:p>
      <w:pPr>
        <w:spacing w:after="80" w:before="120"/>
        <w:jc w:val="center"/>
      </w:pPr>
      <w:r>
        <w:drawing>
          <wp:inline distT="0" distB="0" distL="0" distR="0">
            <wp:extent cx="6000750" cy="335280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4A5568"/>
          <w:sz w:val="18"/>
          <w:szCs w:val="18"/>
        </w:rPr>
        <w:t xml:space="preserve">Figure 2 — Single-server configuration. IIS hosts the .NET app; Python runs under waitress as a Windows service on localhost.</w:t>
      </w:r>
    </w:p>
    <w:p>
      <w:pPr>
        <w:pStyle w:val="Heading2"/>
      </w:pPr>
      <w:r>
        <w:t xml:space="preserve">5.1  Software to install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.NET 8 Hosting Bundle (installs the ASP.NET Core module into IIS).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3.10+ with a virtual environment and the project's requirements.txt (includes waitress).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NSSM (or an equivalent) to run the Python service as a Windows service.</w:t>
      </w:r>
    </w:p>
    <w:p>
      <w:pPr>
        <w:pStyle w:val="Heading2"/>
      </w:pPr>
      <w:r>
        <w:t xml:space="preserve">5.2  Python service</w:t>
      </w:r>
    </w:p>
    <w:p>
      <w:pPr>
        <w:spacing w:after="120" w:before="0"/>
      </w:pPr>
      <w:r>
        <w:t xml:space="preserve">Run the service via serve.py, which uses waitress in a single process with a thread pool (waitress runs on Windows; gunicorn is Linux-only). Bind it to 127.0.0.1:8000 so it is not exposed outside the box. Register it as a Windows service so it starts on boot and restarts on failure. Set STORAGE_BACKEND=memory (the default) and provide the gateway credentials (LITELLM_API_KEY, LITELLM_API_BASE) in the .env file. Do not run more than one worker/process — that would split the in-memory sessions.</w:t>
      </w:r>
    </w:p>
    <w:p>
      <w:pPr>
        <w:pStyle w:val="Heading2"/>
      </w:pPr>
      <w:r>
        <w:t xml:space="preserve">5.3  .NET / IIS</w:t>
      </w:r>
    </w:p>
    <w:p>
      <w:pPr>
        <w:spacing w:after="120" w:before="0"/>
      </w:pPr>
      <w:r>
        <w:t xml:space="preserve">Publish the .NET app and host it in IIS with ASPNETCORE_ENVIRONMENT=Production. Set PythonService:BaseUrl to http://localhost:8000. Enable Windows Authentication (already configured in appsettings.Production.json) once the server is domain-joined, so users are authenticated against Active Directory.</w:t>
      </w:r>
    </w:p>
    <w:p>
      <w:pPr>
        <w:pStyle w:val="Heading2"/>
      </w:pPr>
      <w:r>
        <w:t xml:space="preserve">5.4  Networking and security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Users reach IIS over the internal network; the Python service listens only on localhost.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Outbound HTTPS from the server to the GA LiteLLM gateway is required for answers.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Windows Authentication (Active Directory) protects the app; no anonymous access.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secrets (gateway key) in the server's secret store or a restricted .env, not in source control.</w:t>
      </w:r>
    </w:p>
    <w:p>
      <w:pPr>
        <w:pStyle w:val="Heading2"/>
      </w:pPr>
      <w:r>
        <w:t xml:space="preserve">5.5  What is NOT needed</w:t>
      </w:r>
    </w:p>
    <w:p>
      <w:pPr>
        <w:spacing w:after="80" w:before="0"/>
      </w:pPr>
      <w:r>
        <w:t xml:space="preserve">No SQL Server, no network file share, and no load balancer. This is the main reason the edition is simple and inexpensive to run.</w:t>
      </w:r>
    </w:p>
    <w:p>
      <w:pPr>
        <w:pStyle w:val="Heading1"/>
      </w:pPr>
      <w:r>
        <w:t xml:space="preserve">6.  Sizing</w:t>
      </w:r>
    </w:p>
    <w:p>
      <w:pPr>
        <w:spacing w:after="120" w:before="0"/>
      </w:pPr>
      <w:r>
        <w:t xml:space="preserve">The workload is I/O-bound: each question spends most of its time waiting on the LLM gateway, so a single process with a modest thread pool serves many concurrent users. CPU needs are light. The main sizing driver is memory, because each active user's data sits in RAM. Budget a few hundred megabytes per concurrent active user (depending on file size, up to ~50 MB per file) plus operating-system and IIS headroom. For a small base a server with roughly 4 vCPU and 16-32 GB of RAM is a sensible starting point; increase RAM first if more users are active at once. Because the design scales up rather than out, growth is handled by moving to a larger server (or, past a point, to the scale-out edition).</w:t>
      </w:r>
    </w:p>
    <w:p>
      <w:pPr>
        <w:pStyle w:val="Heading1"/>
      </w:pPr>
      <w:r>
        <w:t xml:space="preserve">7.  Cost Estimate</w:t>
      </w:r>
    </w:p>
    <w:p>
      <w:pPr>
        <w:spacing w:after="120" w:before="0"/>
      </w:pPr>
      <w:r>
        <w:t xml:space="preserve">This edition is deliberately low-cost: no database, file-share, or load-balancer to license or run. The figures below are approximate, region- and vendor-dependent, and exclude the LLM gateway usage (which runs on the organization's existing gateway and is billed separately by token use, not new infrastructure).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2400"/>
        <w:gridCol w:w="4310"/>
      </w:tblGrid>
      <w:tr>
        <w:trPr>
          <w:tblHeader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Indicative cost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Co-locate on an existing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 incremental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the current .NET/IIS server has spare CPU and RAM headroom, Python simply runs alongside it. Lowest cost; recommended starting point.</w:t>
            </w:r>
          </w:p>
        </w:tc>
      </w:tr>
      <w:tr>
        <w:trPr>
          <w:tblHeader w:val="false"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Dedicated VM — small (4 vCPU, 16 GB)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~$120-180 / mo cloud (PAYG); ~$70-110 reserved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On-prem: typically no new spend if virtualization capacity exists. Good for a small base.</w:t>
            </w:r>
          </w:p>
        </w:tc>
      </w:tr>
      <w:tr>
        <w:trPr>
          <w:tblHeader w:val="false"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Dedicated VM — medium (8 vCPU, 32 GB)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~$250-320 / mo cloud (PAYG)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Headroom for more concurrent active users / larger files.</w:t>
            </w:r>
          </w:p>
        </w:tc>
      </w:tr>
    </w:tbl>
    <w:p>
      <w:pPr>
        <w:spacing w:after="120" w:before="80"/>
      </w:pPr>
      <w:r>
        <w:t xml:space="preserve">Software licensing: .NET, Python, waitress, and NSSM are free / open-source. A Windows Server license is typically already owned. There is no SQL Server license in this edition (a cost saving versus the scale-out design).</w:t>
      </w:r>
    </w:p>
    <w:p>
      <w:pPr>
        <w:spacing w:after="80" w:before="0"/>
      </w:pPr>
      <w:r>
        <w:rPr>
          <w:b/>
          <w:bCs/>
        </w:rPr>
        <w:t xml:space="preserve">Recommended starting point: co-locate on the existing .NET server if it has headroom (near-zero added cost); otherwise a single small VM. Scale up the RAM as adoption grows.</w:t>
      </w:r>
    </w:p>
    <w:p>
      <w:pPr>
        <w:pStyle w:val="Heading1"/>
      </w:pPr>
      <w:r>
        <w:t xml:space="preserve">8.  Operations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Startup/restart: the Windows service auto-starts the Python process; a restart clears active sessions (users re-upload) — communicate this for planned maintenance.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Monitoring: watch server RAM (the key metric) and the /health endpoint; the .NET /healthz endpoint reports both layers.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Backups: none required for application state (nothing is persisted); back up configuration and deployment artifacts as usual.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Updates: deploy new code, then restart the Python service and recycle the IIS app pool.</w:t>
      </w:r>
    </w:p>
    <w:p>
      <w:pPr>
        <w:pStyle w:val="Heading1"/>
      </w:pPr>
      <w:r>
        <w:t xml:space="preserve">9.  When to Move Beyond One Server</w:t>
      </w:r>
    </w:p>
    <w:p>
      <w:pPr>
        <w:spacing w:after="120" w:before="0"/>
      </w:pPr>
      <w:r>
        <w:t xml:space="preserve">If usage grows to the point where a single server cannot hold all active users' data in memory, or where redundancy and zero-downtime restarts become requirements, switch to the scale-out edition. That edition keeps the same analytical core but adds SQL Server for session/conversation data, a network file share for uploaded data, and multiple stateless Python instances behind a load balancer. Because the application code is shared, the move is primarily infrastructure and configuration.</w:t>
      </w:r>
    </w:p>
    <w:p>
      <w:pPr>
        <w:pStyle w:val="Heading1"/>
      </w:pPr>
      <w:r>
        <w:t xml:space="preserve">10.  Summary</w:t>
      </w:r>
    </w:p>
    <w:p>
      <w:pPr>
        <w:spacing w:after="120" w:before="0"/>
      </w:pPr>
      <w:r>
        <w:t xml:space="preserve">The In-RAM Single-Server Edition runs the full Chat with Data experience for the Standard and Variance modes on one server, holding all session state in memory for fast, contextual follow-up answers. It requires no database, file share, or load balancer, which makes it the simplest and least expensive way to go live for a small user base. The trade-offs — a single server and sessions cleared on restart — are appropriate at this scale, and the application can graduate to the scale-out edition later without changing its analytical core.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BB0"/>
        <w:sz w:val="16"/>
        <w:szCs w:val="16"/>
      </w:rPr>
      <w:t xml:space="preserve">Chat with Data — In-RAM Single-Server Edition   ·   Page </w:t>
    </w:r>
    <w:r>
      <w:rPr>
        <w:color w:val="8A9B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3A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e822bcc0b651dcadb86b08d5c6fb1a744c06a5a.png"/><Relationship Id="rId9" Type="http://schemas.openxmlformats.org/officeDocument/2006/relationships/image" Target="media/77412a63a3eb54d0debebc4a72471e297ae6d4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with Data — In-RAM Single-Server Edition</dc:title>
  <dc:creator>Thiago Alvares</dc:creator>
  <cp:lastModifiedBy>Un-named</cp:lastModifiedBy>
  <cp:revision>1</cp:revision>
  <dcterms:created xsi:type="dcterms:W3CDTF">2026-07-01T22:26:56.701Z</dcterms:created>
  <dcterms:modified xsi:type="dcterms:W3CDTF">2026-07-01T22:26:56.704Z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