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C81A03" w:rsidRDefault="00BB3202" w:rsidP="0032721C">
      <w:pPr>
        <w:rPr>
          <w:rFonts w:ascii="Arial" w:hAnsi="Arial" w:cs="Arial"/>
          <w:b/>
        </w:rPr>
      </w:pPr>
      <w:r w:rsidRPr="00C81A03">
        <w:rPr>
          <w:rFonts w:ascii="Arial" w:hAnsi="Arial" w:cs="Arial"/>
          <w:b/>
        </w:rPr>
        <w:t>BÓSNIA</w:t>
      </w:r>
      <w:r w:rsidR="00C81A03">
        <w:rPr>
          <w:rFonts w:ascii="Arial" w:hAnsi="Arial" w:cs="Arial"/>
          <w:b/>
        </w:rPr>
        <w:t xml:space="preserve"> E </w:t>
      </w:r>
      <w:r w:rsidRPr="00C81A03">
        <w:rPr>
          <w:rFonts w:ascii="Arial" w:hAnsi="Arial" w:cs="Arial"/>
          <w:b/>
        </w:rPr>
        <w:t>HERZEGOVINA</w:t>
      </w:r>
    </w:p>
    <w:p w:rsidR="00C81A03" w:rsidRPr="00C81A03" w:rsidRDefault="00C81A03" w:rsidP="0032721C">
      <w:pPr>
        <w:rPr>
          <w:rFonts w:ascii="Arial" w:hAnsi="Arial" w:cs="Arial"/>
        </w:rPr>
      </w:pPr>
    </w:p>
    <w:p w:rsidR="00C81A03" w:rsidRDefault="00C81A03" w:rsidP="0032721C">
      <w:pPr>
        <w:rPr>
          <w:rFonts w:ascii="Arial" w:hAnsi="Arial" w:cs="Arial"/>
          <w:bCs/>
          <w:color w:val="222222"/>
          <w:shd w:val="clear" w:color="auto" w:fill="FFFFFF"/>
        </w:rPr>
      </w:pPr>
      <w:r w:rsidRPr="00C81A03"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Bósnia e </w:t>
      </w:r>
      <w:r w:rsidRPr="00C81A03">
        <w:rPr>
          <w:rFonts w:ascii="Arial" w:hAnsi="Arial" w:cs="Arial"/>
          <w:bCs/>
          <w:color w:val="222222"/>
          <w:shd w:val="clear" w:color="auto" w:fill="FFFFFF"/>
        </w:rPr>
        <w:t>Herzegovina ou apenas Bósnia é uma república federal dos Balcãs que re</w:t>
      </w:r>
      <w:r w:rsidR="00824073">
        <w:rPr>
          <w:rFonts w:ascii="Arial" w:hAnsi="Arial" w:cs="Arial"/>
          <w:bCs/>
          <w:color w:val="222222"/>
          <w:shd w:val="clear" w:color="auto" w:fill="FFFFFF"/>
        </w:rPr>
        <w:t>sulta da dissolução da antiga Iu</w:t>
      </w:r>
      <w:r w:rsidRPr="00C81A03">
        <w:rPr>
          <w:rFonts w:ascii="Arial" w:hAnsi="Arial" w:cs="Arial"/>
          <w:bCs/>
          <w:color w:val="222222"/>
          <w:shd w:val="clear" w:color="auto" w:fill="FFFFFF"/>
        </w:rPr>
        <w:t>guslávia. O antigo país deu origem à Bósnia-Herzegovina, Sérvia, Croácia e Montenegro, todos localizados no Leste Europeu.</w:t>
      </w:r>
    </w:p>
    <w:p w:rsidR="00C81A03" w:rsidRDefault="00C81A03" w:rsidP="0032721C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82407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A Bósnia e Herzegovina declarou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E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>m outubro de 1991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, o país declarou soberania e em 3 de março do ano seguinte, independência da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>Iugoslávia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.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 </w:t>
      </w:r>
    </w:p>
    <w:p w:rsidR="00824073" w:rsidRDefault="0082407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82407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Em março de 1994, os bósnios e os croatas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assinaram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um acordo criando uma Federação Bósnia-Croata conjunta da Bósnia e Herzegovina. Em 21 de novembro de 1995,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as partes assinaram um acordo de paz, conhecido como Acordo de Dayton,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>que encerro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u três anos de conflitos civis e sobre etnia mas o acordo final só viria em 14 de dezembro, ratificado em Paris.</w:t>
      </w:r>
    </w:p>
    <w:p w:rsidR="00F31C72" w:rsidRDefault="00F31C72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824073" w:rsidRDefault="0082407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>
        <w:rPr>
          <w:rFonts w:ascii="Arial" w:hAnsi="Arial" w:cs="Arial"/>
          <w:color w:val="222222"/>
          <w:sz w:val="24"/>
          <w:szCs w:val="24"/>
          <w:lang w:val="pt-PT"/>
        </w:rPr>
        <w:t xml:space="preserve">No Acordo de Dayton, </w:t>
      </w:r>
      <w:r w:rsidR="00C81A03"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as fronteiras internacionais da Bósnia e Herzegovina </w:t>
      </w:r>
      <w:r>
        <w:rPr>
          <w:rFonts w:ascii="Arial" w:hAnsi="Arial" w:cs="Arial"/>
          <w:color w:val="222222"/>
          <w:sz w:val="24"/>
          <w:szCs w:val="24"/>
          <w:lang w:val="pt-PT"/>
        </w:rPr>
        <w:t xml:space="preserve">foram mantidas e foi criado </w:t>
      </w:r>
      <w:r w:rsidR="00C81A03" w:rsidRPr="00C81A03">
        <w:rPr>
          <w:rFonts w:ascii="Arial" w:hAnsi="Arial" w:cs="Arial"/>
          <w:color w:val="222222"/>
          <w:sz w:val="24"/>
          <w:szCs w:val="24"/>
          <w:lang w:val="pt-PT"/>
        </w:rPr>
        <w:t>um governo multiétnico e democrático encarregado de conduzir a política externa, diplomática e fiscal. Também foi reconhecido um segundo nível de governo composto de duas entidades aproximadamente iguais em tam</w:t>
      </w:r>
      <w:r>
        <w:rPr>
          <w:rFonts w:ascii="Arial" w:hAnsi="Arial" w:cs="Arial"/>
          <w:color w:val="222222"/>
          <w:sz w:val="24"/>
          <w:szCs w:val="24"/>
          <w:lang w:val="pt-PT"/>
        </w:rPr>
        <w:t>anho: a Federação Croata Bósnia,</w:t>
      </w:r>
      <w:r w:rsidR="00C81A03"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 da Bósnia e Herzegovina</w:t>
      </w:r>
      <w:r>
        <w:rPr>
          <w:rFonts w:ascii="Arial" w:hAnsi="Arial" w:cs="Arial"/>
          <w:color w:val="222222"/>
          <w:sz w:val="24"/>
          <w:szCs w:val="24"/>
          <w:lang w:val="pt-PT"/>
        </w:rPr>
        <w:t>,</w:t>
      </w:r>
      <w:r w:rsidR="00C81A03"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 e a Republika Srpska (RS) predominantemente sérvia da Bósnia. A Federação e os governos do RS são responsáveis ​​por supervisionar a maioria das funções do governo. </w:t>
      </w:r>
    </w:p>
    <w:p w:rsidR="00824073" w:rsidRDefault="0082407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82407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Além disso, o Acordo de Dayton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também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estabeleceu o Gabinete do Alto Representante para supervisionar a implementação dos aspectos civis do acordo.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Ele ganhou autoridade para impor a legislação no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>Conselho de Implementação da Paz, em sua conferência em Bonn em 1997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.</w:t>
      </w:r>
    </w:p>
    <w:p w:rsidR="00824073" w:rsidRDefault="0082407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82407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C81A03">
        <w:rPr>
          <w:rFonts w:ascii="Arial" w:hAnsi="Arial" w:cs="Arial"/>
          <w:color w:val="222222"/>
          <w:sz w:val="24"/>
          <w:szCs w:val="24"/>
          <w:lang w:val="pt-PT"/>
        </w:rPr>
        <w:t>Uma força de paz internacional liderada pela O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rganização do Tratado do Atlântico-Norte (OTAN) com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 60.000 soldados reunidos em 1995 foi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instalada e logo depois 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 xml:space="preserve">sucedida por uma menor 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>também liderada pela OTAN, chamada SFOR</w:t>
      </w:r>
      <w:r w:rsidRPr="00C81A03">
        <w:rPr>
          <w:rFonts w:ascii="Arial" w:hAnsi="Arial" w:cs="Arial"/>
          <w:color w:val="222222"/>
          <w:sz w:val="24"/>
          <w:szCs w:val="24"/>
          <w:lang w:val="pt-PT"/>
        </w:rPr>
        <w:t>.</w:t>
      </w:r>
    </w:p>
    <w:p w:rsidR="00824073" w:rsidRDefault="0082407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C81A03" w:rsidRPr="00C81A0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C81A03">
        <w:rPr>
          <w:rFonts w:ascii="Arial" w:hAnsi="Arial" w:cs="Arial"/>
          <w:color w:val="222222"/>
          <w:sz w:val="24"/>
          <w:szCs w:val="24"/>
          <w:lang w:val="pt-PT"/>
        </w:rPr>
        <w:t>Em 2004, as tropas de manutenção da paz da União Europeia</w:t>
      </w:r>
      <w:r w:rsidR="00824073">
        <w:rPr>
          <w:rFonts w:ascii="Arial" w:hAnsi="Arial" w:cs="Arial"/>
          <w:color w:val="222222"/>
          <w:sz w:val="24"/>
          <w:szCs w:val="24"/>
          <w:lang w:val="pt-PT"/>
        </w:rPr>
        <w:t xml:space="preserve"> (EUFOR) substituíram a SFOR. </w:t>
      </w:r>
    </w:p>
    <w:p w:rsidR="00C81A03" w:rsidRPr="00C81A03" w:rsidRDefault="00C81A03" w:rsidP="00C81A03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C81A03" w:rsidRDefault="00C81A03" w:rsidP="0032721C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Fonte:</w:t>
      </w:r>
    </w:p>
    <w:p w:rsidR="00C81A03" w:rsidRPr="00C81A03" w:rsidRDefault="00C81A03" w:rsidP="0032721C">
      <w:pPr>
        <w:rPr>
          <w:rFonts w:ascii="Arial" w:hAnsi="Arial" w:cs="Arial"/>
          <w:bCs/>
          <w:color w:val="222222"/>
          <w:shd w:val="clear" w:color="auto" w:fill="FFFFFF"/>
        </w:rPr>
      </w:pPr>
      <w:r w:rsidRPr="00C81A03">
        <w:rPr>
          <w:rFonts w:ascii="Arial" w:hAnsi="Arial" w:cs="Arial"/>
          <w:bCs/>
          <w:color w:val="222222"/>
          <w:shd w:val="clear" w:color="auto" w:fill="FFFFFF"/>
        </w:rPr>
        <w:t>https://www.cia.gov/library/publications/the-world-factbook/geos/bk.html</w:t>
      </w:r>
    </w:p>
    <w:p w:rsidR="00C81A03" w:rsidRPr="00C81A03" w:rsidRDefault="00C81A03" w:rsidP="0032721C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C81A03" w:rsidRDefault="00C81A03" w:rsidP="0032721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sectPr w:rsidR="00C81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2721C"/>
    <w:rsid w:val="003F63A3"/>
    <w:rsid w:val="004B0CB2"/>
    <w:rsid w:val="00764749"/>
    <w:rsid w:val="007B2E3A"/>
    <w:rsid w:val="00824073"/>
    <w:rsid w:val="00BB3202"/>
    <w:rsid w:val="00BF4C42"/>
    <w:rsid w:val="00C81A03"/>
    <w:rsid w:val="00F3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EF0BF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65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77677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2018-04-06T19:38:00Z</dcterms:created>
  <dcterms:modified xsi:type="dcterms:W3CDTF">2018-04-06T19:38:00Z</dcterms:modified>
</cp:coreProperties>
</file>