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500" w:rsidRPr="00E9319B" w:rsidRDefault="007609CB" w:rsidP="00100EBE">
      <w:pPr>
        <w:rPr>
          <w:rFonts w:ascii="Arial" w:hAnsi="Arial" w:cs="Arial"/>
          <w:b/>
        </w:rPr>
      </w:pPr>
      <w:r w:rsidRPr="00E9319B">
        <w:rPr>
          <w:rFonts w:ascii="Arial" w:hAnsi="Arial" w:cs="Arial"/>
          <w:b/>
        </w:rPr>
        <w:t>EGITO</w:t>
      </w:r>
    </w:p>
    <w:p w:rsidR="00AC500C" w:rsidRPr="00AC500C" w:rsidRDefault="00AC500C" w:rsidP="00100EBE">
      <w:pPr>
        <w:rPr>
          <w:rFonts w:ascii="Arial" w:hAnsi="Arial" w:cs="Arial"/>
        </w:rPr>
      </w:pPr>
    </w:p>
    <w:p w:rsidR="00AC500C" w:rsidRPr="00E9319B" w:rsidRDefault="00E9319B" w:rsidP="00AC500C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E9319B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7609CB" w:rsidRPr="00E9319B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7609CB" w:rsidRPr="00E9319B">
        <w:rPr>
          <w:rFonts w:ascii="Arial" w:hAnsi="Arial" w:cs="Arial"/>
          <w:bCs/>
          <w:sz w:val="24"/>
          <w:szCs w:val="24"/>
          <w:shd w:val="clear" w:color="auto" w:fill="FFFFFF"/>
        </w:rPr>
        <w:t>República Árabe do Egito</w:t>
      </w:r>
      <w:r w:rsidRPr="00E9319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está localiz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a</w:t>
      </w:r>
      <w:r w:rsidRPr="00E9319B">
        <w:rPr>
          <w:rFonts w:ascii="Arial" w:hAnsi="Arial" w:cs="Arial"/>
          <w:bCs/>
          <w:sz w:val="24"/>
          <w:szCs w:val="24"/>
          <w:shd w:val="clear" w:color="auto" w:fill="FFFFFF"/>
        </w:rPr>
        <w:t>da na África.</w:t>
      </w:r>
    </w:p>
    <w:p w:rsidR="00AC500C" w:rsidRPr="00E9319B" w:rsidRDefault="00AC500C" w:rsidP="00AC500C">
      <w:pPr>
        <w:pStyle w:val="Pr-formataoHTML"/>
        <w:shd w:val="clear" w:color="auto" w:fill="FFFFFF"/>
        <w:rPr>
          <w:rFonts w:ascii="Arial" w:hAnsi="Arial" w:cs="Arial"/>
          <w:sz w:val="24"/>
          <w:szCs w:val="24"/>
        </w:rPr>
      </w:pPr>
    </w:p>
    <w:p w:rsidR="00E9319B" w:rsidRDefault="00E9319B" w:rsidP="007609CB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E9319B">
        <w:rPr>
          <w:rFonts w:ascii="Arial" w:hAnsi="Arial" w:cs="Arial"/>
          <w:sz w:val="24"/>
          <w:szCs w:val="24"/>
          <w:lang w:val="pt-PT"/>
        </w:rPr>
        <w:t xml:space="preserve">Um reino unificado surgiu por volta de 3200 a.C. e uma série de dinastias governou o Egito pelos três milênios seguintes. </w:t>
      </w:r>
    </w:p>
    <w:p w:rsidR="00E9319B" w:rsidRDefault="00E9319B" w:rsidP="007609CB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E9319B" w:rsidRDefault="00E9319B" w:rsidP="007609CB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E9319B">
        <w:rPr>
          <w:rFonts w:ascii="Arial" w:hAnsi="Arial" w:cs="Arial"/>
          <w:sz w:val="24"/>
          <w:szCs w:val="24"/>
          <w:lang w:val="pt-PT"/>
        </w:rPr>
        <w:t xml:space="preserve">A última dinastia </w:t>
      </w:r>
      <w:r>
        <w:rPr>
          <w:rFonts w:ascii="Arial" w:hAnsi="Arial" w:cs="Arial"/>
          <w:sz w:val="24"/>
          <w:szCs w:val="24"/>
          <w:lang w:val="pt-PT"/>
        </w:rPr>
        <w:t>foi dos</w:t>
      </w:r>
      <w:r w:rsidRPr="00E9319B">
        <w:rPr>
          <w:rFonts w:ascii="Arial" w:hAnsi="Arial" w:cs="Arial"/>
          <w:sz w:val="24"/>
          <w:szCs w:val="24"/>
          <w:lang w:val="pt-PT"/>
        </w:rPr>
        <w:t xml:space="preserve"> persas em 341 aC, que por sua vez foram substituídos pelos gregos, romanos e bizantinos.</w:t>
      </w:r>
    </w:p>
    <w:p w:rsidR="00E9319B" w:rsidRDefault="00E9319B" w:rsidP="007609CB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E9319B" w:rsidRDefault="00E9319B" w:rsidP="007609CB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Coube aos</w:t>
      </w:r>
      <w:r w:rsidR="007609CB" w:rsidRPr="00E9319B">
        <w:rPr>
          <w:rFonts w:ascii="Arial" w:hAnsi="Arial" w:cs="Arial"/>
          <w:sz w:val="24"/>
          <w:szCs w:val="24"/>
          <w:lang w:val="pt-PT"/>
        </w:rPr>
        <w:t xml:space="preserve"> árabes </w:t>
      </w:r>
      <w:r>
        <w:rPr>
          <w:rFonts w:ascii="Arial" w:hAnsi="Arial" w:cs="Arial"/>
          <w:sz w:val="24"/>
          <w:szCs w:val="24"/>
          <w:lang w:val="pt-PT"/>
        </w:rPr>
        <w:t>introduzirem</w:t>
      </w:r>
      <w:r w:rsidR="007609CB" w:rsidRPr="00E9319B">
        <w:rPr>
          <w:rFonts w:ascii="Arial" w:hAnsi="Arial" w:cs="Arial"/>
          <w:sz w:val="24"/>
          <w:szCs w:val="24"/>
          <w:lang w:val="pt-PT"/>
        </w:rPr>
        <w:t xml:space="preserve"> o islamismo e a língua árabe no século VII e </w:t>
      </w:r>
      <w:r>
        <w:rPr>
          <w:rFonts w:ascii="Arial" w:hAnsi="Arial" w:cs="Arial"/>
          <w:sz w:val="24"/>
          <w:szCs w:val="24"/>
          <w:lang w:val="pt-PT"/>
        </w:rPr>
        <w:t>lá</w:t>
      </w:r>
      <w:r w:rsidR="007609CB" w:rsidRPr="00E9319B">
        <w:rPr>
          <w:rFonts w:ascii="Arial" w:hAnsi="Arial" w:cs="Arial"/>
          <w:sz w:val="24"/>
          <w:szCs w:val="24"/>
          <w:lang w:val="pt-PT"/>
        </w:rPr>
        <w:t xml:space="preserve"> governaram pelos seis séculos seguintes. </w:t>
      </w:r>
    </w:p>
    <w:p w:rsidR="00E9319B" w:rsidRDefault="00E9319B" w:rsidP="007609CB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E9319B" w:rsidRDefault="007609CB" w:rsidP="007609CB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E9319B">
        <w:rPr>
          <w:rFonts w:ascii="Arial" w:hAnsi="Arial" w:cs="Arial"/>
          <w:sz w:val="24"/>
          <w:szCs w:val="24"/>
          <w:lang w:val="pt-PT"/>
        </w:rPr>
        <w:t>Uma casta militar local, os mamelucos</w:t>
      </w:r>
      <w:r w:rsidR="00E9319B">
        <w:rPr>
          <w:rFonts w:ascii="Arial" w:hAnsi="Arial" w:cs="Arial"/>
          <w:sz w:val="24"/>
          <w:szCs w:val="24"/>
          <w:lang w:val="pt-PT"/>
        </w:rPr>
        <w:t>,</w:t>
      </w:r>
      <w:r w:rsidRPr="00E9319B">
        <w:rPr>
          <w:rFonts w:ascii="Arial" w:hAnsi="Arial" w:cs="Arial"/>
          <w:sz w:val="24"/>
          <w:szCs w:val="24"/>
          <w:lang w:val="pt-PT"/>
        </w:rPr>
        <w:t xml:space="preserve"> assumi</w:t>
      </w:r>
      <w:r w:rsidR="00E9319B">
        <w:rPr>
          <w:rFonts w:ascii="Arial" w:hAnsi="Arial" w:cs="Arial"/>
          <w:sz w:val="24"/>
          <w:szCs w:val="24"/>
          <w:lang w:val="pt-PT"/>
        </w:rPr>
        <w:t>u</w:t>
      </w:r>
      <w:r w:rsidRPr="00E9319B">
        <w:rPr>
          <w:rFonts w:ascii="Arial" w:hAnsi="Arial" w:cs="Arial"/>
          <w:sz w:val="24"/>
          <w:szCs w:val="24"/>
          <w:lang w:val="pt-PT"/>
        </w:rPr>
        <w:t xml:space="preserve"> o controle por volta de 1250 e continu</w:t>
      </w:r>
      <w:r w:rsidR="00E9319B">
        <w:rPr>
          <w:rFonts w:ascii="Arial" w:hAnsi="Arial" w:cs="Arial"/>
          <w:sz w:val="24"/>
          <w:szCs w:val="24"/>
          <w:lang w:val="pt-PT"/>
        </w:rPr>
        <w:t>ou</w:t>
      </w:r>
      <w:r w:rsidRPr="00E9319B">
        <w:rPr>
          <w:rFonts w:ascii="Arial" w:hAnsi="Arial" w:cs="Arial"/>
          <w:sz w:val="24"/>
          <w:szCs w:val="24"/>
          <w:lang w:val="pt-PT"/>
        </w:rPr>
        <w:t xml:space="preserve"> a governar após a conquista do Egito pelos turcos otomanos em 1517. </w:t>
      </w:r>
    </w:p>
    <w:p w:rsidR="00E9319B" w:rsidRDefault="00E9319B" w:rsidP="007609CB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E9319B" w:rsidRDefault="007609CB" w:rsidP="007609CB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E9319B">
        <w:rPr>
          <w:rFonts w:ascii="Arial" w:hAnsi="Arial" w:cs="Arial"/>
          <w:sz w:val="24"/>
          <w:szCs w:val="24"/>
          <w:lang w:val="pt-PT"/>
        </w:rPr>
        <w:t>A conclusão d</w:t>
      </w:r>
      <w:r w:rsidR="00E9319B">
        <w:rPr>
          <w:rFonts w:ascii="Arial" w:hAnsi="Arial" w:cs="Arial"/>
          <w:sz w:val="24"/>
          <w:szCs w:val="24"/>
          <w:lang w:val="pt-PT"/>
        </w:rPr>
        <w:t>a obra do</w:t>
      </w:r>
      <w:r w:rsidRPr="00E9319B">
        <w:rPr>
          <w:rFonts w:ascii="Arial" w:hAnsi="Arial" w:cs="Arial"/>
          <w:sz w:val="24"/>
          <w:szCs w:val="24"/>
          <w:lang w:val="pt-PT"/>
        </w:rPr>
        <w:t xml:space="preserve"> Canal de Suez em 1869 elevou o </w:t>
      </w:r>
      <w:r w:rsidR="00E9319B">
        <w:rPr>
          <w:rFonts w:ascii="Arial" w:hAnsi="Arial" w:cs="Arial"/>
          <w:sz w:val="24"/>
          <w:szCs w:val="24"/>
          <w:lang w:val="pt-PT"/>
        </w:rPr>
        <w:t>país</w:t>
      </w:r>
      <w:r w:rsidRPr="00E9319B">
        <w:rPr>
          <w:rFonts w:ascii="Arial" w:hAnsi="Arial" w:cs="Arial"/>
          <w:sz w:val="24"/>
          <w:szCs w:val="24"/>
          <w:lang w:val="pt-PT"/>
        </w:rPr>
        <w:t xml:space="preserve"> como importante centro de transporte mundial. </w:t>
      </w:r>
    </w:p>
    <w:p w:rsidR="00E9319B" w:rsidRDefault="00E9319B" w:rsidP="007609CB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E9319B" w:rsidRDefault="00E9319B" w:rsidP="007609CB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Para proteger</w:t>
      </w:r>
      <w:r w:rsidR="007609CB" w:rsidRPr="00E9319B">
        <w:rPr>
          <w:rFonts w:ascii="Arial" w:hAnsi="Arial" w:cs="Arial"/>
          <w:sz w:val="24"/>
          <w:szCs w:val="24"/>
          <w:lang w:val="pt-PT"/>
        </w:rPr>
        <w:t xml:space="preserve"> seus investimentos, a Grã-Bretanha assumiu o controle do governo do Egito em 1882, mas a lealdade ao Império Otomano continuou até 1914. </w:t>
      </w:r>
    </w:p>
    <w:p w:rsidR="00E9319B" w:rsidRDefault="00E9319B" w:rsidP="007609CB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E9319B" w:rsidRDefault="00E9319B" w:rsidP="007609CB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</w:t>
      </w:r>
      <w:r w:rsidR="007609CB" w:rsidRPr="00E9319B">
        <w:rPr>
          <w:rFonts w:ascii="Arial" w:hAnsi="Arial" w:cs="Arial"/>
          <w:sz w:val="24"/>
          <w:szCs w:val="24"/>
          <w:lang w:val="pt-PT"/>
        </w:rPr>
        <w:t xml:space="preserve"> Egito</w:t>
      </w:r>
      <w:r>
        <w:rPr>
          <w:rFonts w:ascii="Arial" w:hAnsi="Arial" w:cs="Arial"/>
          <w:sz w:val="24"/>
          <w:szCs w:val="24"/>
          <w:lang w:val="pt-PT"/>
        </w:rPr>
        <w:t xml:space="preserve"> ficou parcialmente independente da Grã-Bretanha em 1922 mas só</w:t>
      </w:r>
      <w:r w:rsidR="007609CB" w:rsidRPr="00E9319B">
        <w:rPr>
          <w:rFonts w:ascii="Arial" w:hAnsi="Arial" w:cs="Arial"/>
          <w:sz w:val="24"/>
          <w:szCs w:val="24"/>
          <w:lang w:val="pt-PT"/>
        </w:rPr>
        <w:t xml:space="preserve"> adquiriu soberania em 1952. </w:t>
      </w:r>
    </w:p>
    <w:p w:rsidR="00E9319B" w:rsidRDefault="00E9319B" w:rsidP="007609CB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E9319B" w:rsidRDefault="007609CB" w:rsidP="007609CB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E9319B">
        <w:rPr>
          <w:rFonts w:ascii="Arial" w:hAnsi="Arial" w:cs="Arial"/>
          <w:sz w:val="24"/>
          <w:szCs w:val="24"/>
          <w:lang w:val="pt-PT"/>
        </w:rPr>
        <w:t xml:space="preserve">Inspirados pela revolução tunisiana de 2010, grupos de oposição lideraram manifestações e greves de trabalhadores em todo o país, culminando na demissão do presidente Hosni Mubarak em 2011. </w:t>
      </w:r>
    </w:p>
    <w:p w:rsidR="00E9319B" w:rsidRDefault="00E9319B" w:rsidP="007609CB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E9319B" w:rsidRDefault="007609CB" w:rsidP="007609CB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E9319B">
        <w:rPr>
          <w:rFonts w:ascii="Arial" w:hAnsi="Arial" w:cs="Arial"/>
          <w:sz w:val="24"/>
          <w:szCs w:val="24"/>
          <w:lang w:val="pt-PT"/>
        </w:rPr>
        <w:t>As forças armadas do Egito assumiram a liderança nacional até que um novo parlamento estivesse em vigor no início de 2012</w:t>
      </w:r>
      <w:r w:rsidR="00E9319B">
        <w:rPr>
          <w:rFonts w:ascii="Arial" w:hAnsi="Arial" w:cs="Arial"/>
          <w:sz w:val="24"/>
          <w:szCs w:val="24"/>
          <w:lang w:val="pt-PT"/>
        </w:rPr>
        <w:t>.</w:t>
      </w:r>
    </w:p>
    <w:p w:rsidR="00E9319B" w:rsidRDefault="00E9319B" w:rsidP="007609CB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E9319B" w:rsidRDefault="00E9319B" w:rsidP="007609CB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Nesse mesmo ano, </w:t>
      </w:r>
      <w:r w:rsidR="007609CB" w:rsidRPr="00E9319B">
        <w:rPr>
          <w:rFonts w:ascii="Arial" w:hAnsi="Arial" w:cs="Arial"/>
          <w:sz w:val="24"/>
          <w:szCs w:val="24"/>
          <w:lang w:val="pt-PT"/>
        </w:rPr>
        <w:t>Mohammed M</w:t>
      </w:r>
      <w:r>
        <w:rPr>
          <w:rFonts w:ascii="Arial" w:hAnsi="Arial" w:cs="Arial"/>
          <w:sz w:val="24"/>
          <w:szCs w:val="24"/>
          <w:lang w:val="pt-PT"/>
        </w:rPr>
        <w:t>orsi</w:t>
      </w:r>
      <w:r w:rsidR="007609CB" w:rsidRPr="00E9319B">
        <w:rPr>
          <w:rFonts w:ascii="Arial" w:hAnsi="Arial" w:cs="Arial"/>
          <w:sz w:val="24"/>
          <w:szCs w:val="24"/>
          <w:lang w:val="pt-PT"/>
        </w:rPr>
        <w:t>I venceu a eleição presidencial</w:t>
      </w:r>
      <w:r>
        <w:rPr>
          <w:rFonts w:ascii="Arial" w:hAnsi="Arial" w:cs="Arial"/>
          <w:sz w:val="24"/>
          <w:szCs w:val="24"/>
          <w:lang w:val="pt-PT"/>
        </w:rPr>
        <w:t xml:space="preserve"> mas ficou até julho de 2013 quando foi removido pelas Forças Armadas Egípcias. Foi substituído por Adly Mansour, presidente interino. Em janeiro de 2014, o povo elegeu em maio de 2014 o ex-ministro da Defesa Abdelfattah Elsisi.</w:t>
      </w:r>
      <w:r w:rsidR="007B39BA">
        <w:rPr>
          <w:rFonts w:ascii="Arial" w:hAnsi="Arial" w:cs="Arial"/>
          <w:sz w:val="24"/>
          <w:szCs w:val="24"/>
          <w:lang w:val="pt-PT"/>
        </w:rPr>
        <w:t xml:space="preserve"> Foi reeleito para um segundo mandato em março de 2018.</w:t>
      </w:r>
    </w:p>
    <w:p w:rsidR="00E9319B" w:rsidRDefault="00E9319B" w:rsidP="007609CB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7609CB" w:rsidRPr="00AC500C" w:rsidRDefault="007609CB" w:rsidP="00100EBE">
      <w:pPr>
        <w:rPr>
          <w:rFonts w:ascii="Arial" w:hAnsi="Arial" w:cs="Arial"/>
        </w:rPr>
      </w:pPr>
      <w:bookmarkStart w:id="0" w:name="_GoBack"/>
      <w:bookmarkEnd w:id="0"/>
    </w:p>
    <w:p w:rsidR="00566726" w:rsidRDefault="00566726" w:rsidP="00100EBE">
      <w:pPr>
        <w:rPr>
          <w:rFonts w:ascii="Arial" w:hAnsi="Arial" w:cs="Arial"/>
        </w:rPr>
      </w:pPr>
      <w:r w:rsidRPr="00AC500C">
        <w:rPr>
          <w:rFonts w:ascii="Arial" w:hAnsi="Arial" w:cs="Arial"/>
        </w:rPr>
        <w:t>Fonte:</w:t>
      </w:r>
    </w:p>
    <w:p w:rsidR="00E9319B" w:rsidRDefault="00E9319B" w:rsidP="00100EBE">
      <w:pPr>
        <w:rPr>
          <w:rFonts w:ascii="Arial" w:hAnsi="Arial" w:cs="Arial"/>
        </w:rPr>
      </w:pPr>
      <w:hyperlink r:id="rId6" w:history="1">
        <w:r w:rsidRPr="00494E91">
          <w:rPr>
            <w:rStyle w:val="Hyperlink"/>
            <w:rFonts w:ascii="Arial" w:hAnsi="Arial" w:cs="Arial"/>
          </w:rPr>
          <w:t>https://www.cia.gov/library/publications/the-world-factbook/geos/eg.html</w:t>
        </w:r>
      </w:hyperlink>
    </w:p>
    <w:p w:rsidR="00E9319B" w:rsidRDefault="00E9319B" w:rsidP="00100EBE">
      <w:pPr>
        <w:rPr>
          <w:rFonts w:ascii="Arial" w:hAnsi="Arial" w:cs="Arial"/>
        </w:rPr>
      </w:pPr>
      <w:hyperlink r:id="rId7" w:history="1">
        <w:r w:rsidRPr="00494E91">
          <w:rPr>
            <w:rStyle w:val="Hyperlink"/>
            <w:rFonts w:ascii="Arial" w:hAnsi="Arial" w:cs="Arial"/>
          </w:rPr>
          <w:t>https://www.britannica.com/place/Egypt/Cultural-institutions#ref261333</w:t>
        </w:r>
      </w:hyperlink>
    </w:p>
    <w:p w:rsidR="00E9319B" w:rsidRDefault="00E9319B" w:rsidP="00100EBE">
      <w:pPr>
        <w:rPr>
          <w:rFonts w:ascii="Arial" w:hAnsi="Arial" w:cs="Arial"/>
        </w:rPr>
      </w:pPr>
    </w:p>
    <w:p w:rsidR="00E9319B" w:rsidRPr="00AC500C" w:rsidRDefault="00E9319B" w:rsidP="00100EBE">
      <w:pPr>
        <w:rPr>
          <w:rFonts w:ascii="Arial" w:hAnsi="Arial" w:cs="Arial"/>
        </w:rPr>
      </w:pPr>
    </w:p>
    <w:sectPr w:rsidR="00E9319B" w:rsidRPr="00AC5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709" w:rsidRDefault="00933709" w:rsidP="007609CB">
      <w:r>
        <w:separator/>
      </w:r>
    </w:p>
  </w:endnote>
  <w:endnote w:type="continuationSeparator" w:id="0">
    <w:p w:rsidR="00933709" w:rsidRDefault="00933709" w:rsidP="00760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709" w:rsidRDefault="00933709" w:rsidP="007609CB">
      <w:r>
        <w:separator/>
      </w:r>
    </w:p>
  </w:footnote>
  <w:footnote w:type="continuationSeparator" w:id="0">
    <w:p w:rsidR="00933709" w:rsidRDefault="00933709" w:rsidP="00760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100EBE"/>
    <w:rsid w:val="00130726"/>
    <w:rsid w:val="001679C5"/>
    <w:rsid w:val="00184813"/>
    <w:rsid w:val="001E2500"/>
    <w:rsid w:val="00275760"/>
    <w:rsid w:val="003857AF"/>
    <w:rsid w:val="00415A5A"/>
    <w:rsid w:val="004727FF"/>
    <w:rsid w:val="00503EFF"/>
    <w:rsid w:val="00546A49"/>
    <w:rsid w:val="00566726"/>
    <w:rsid w:val="00587B75"/>
    <w:rsid w:val="00603C9A"/>
    <w:rsid w:val="00644AB8"/>
    <w:rsid w:val="00652053"/>
    <w:rsid w:val="006A16E8"/>
    <w:rsid w:val="007609CB"/>
    <w:rsid w:val="00774863"/>
    <w:rsid w:val="007A2308"/>
    <w:rsid w:val="007B39BA"/>
    <w:rsid w:val="007E120C"/>
    <w:rsid w:val="00872F82"/>
    <w:rsid w:val="00933709"/>
    <w:rsid w:val="009F224B"/>
    <w:rsid w:val="00A7438F"/>
    <w:rsid w:val="00A82433"/>
    <w:rsid w:val="00AC500C"/>
    <w:rsid w:val="00C5237E"/>
    <w:rsid w:val="00C652E4"/>
    <w:rsid w:val="00E55086"/>
    <w:rsid w:val="00E9319B"/>
    <w:rsid w:val="00F33EB6"/>
    <w:rsid w:val="00F4363D"/>
    <w:rsid w:val="00F5361C"/>
    <w:rsid w:val="00F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961E54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1E25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EBE"/>
    <w:rPr>
      <w:color w:val="0000FF"/>
      <w:u w:val="single"/>
    </w:rPr>
  </w:style>
  <w:style w:type="paragraph" w:customStyle="1" w:styleId="storytext">
    <w:name w:val="storytext"/>
    <w:basedOn w:val="Normal"/>
    <w:rsid w:val="00F5361C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3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361C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224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A2308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sid w:val="001E2500"/>
    <w:rPr>
      <w:b/>
      <w:bCs/>
      <w:kern w:val="36"/>
      <w:sz w:val="48"/>
      <w:szCs w:val="48"/>
    </w:rPr>
  </w:style>
  <w:style w:type="character" w:customStyle="1" w:styleId="unicode">
    <w:name w:val="unicode"/>
    <w:basedOn w:val="Fontepargpadro"/>
    <w:rsid w:val="00872F82"/>
  </w:style>
  <w:style w:type="paragraph" w:styleId="Cabealho">
    <w:name w:val="header"/>
    <w:basedOn w:val="Normal"/>
    <w:link w:val="CabealhoChar"/>
    <w:uiPriority w:val="99"/>
    <w:unhideWhenUsed/>
    <w:rsid w:val="007609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09CB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609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609CB"/>
    <w:rPr>
      <w:sz w:val="24"/>
      <w:szCs w:val="24"/>
    </w:rPr>
  </w:style>
  <w:style w:type="character" w:customStyle="1" w:styleId="no-conversion">
    <w:name w:val="no-conversion"/>
    <w:basedOn w:val="Fontepargpadro"/>
    <w:rsid w:val="007609CB"/>
  </w:style>
  <w:style w:type="character" w:customStyle="1" w:styleId="afi">
    <w:name w:val="afi"/>
    <w:basedOn w:val="Fontepargpadro"/>
    <w:rsid w:val="0076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7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492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34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ritannica.com/place/Egypt/Cultural-institutions#ref2613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a.gov/library/publications/the-world-factbook/geos/eg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4</cp:revision>
  <dcterms:created xsi:type="dcterms:W3CDTF">2018-04-27T19:19:00Z</dcterms:created>
  <dcterms:modified xsi:type="dcterms:W3CDTF">2018-05-03T19:27:00Z</dcterms:modified>
</cp:coreProperties>
</file>