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7590" w:rsidRDefault="00987590" w:rsidP="00987590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ARROLAMENTO DE BENS (Art. 855 e ss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987590" w:rsidRDefault="00987590" w:rsidP="00987590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Distribuição por Dependência ao Processo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qualificado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CASAMENTO</w:t>
      </w:r>
      <w:r>
        <w:rPr>
          <w:rFonts w:ascii="Arial" w:hAnsi="Arial" w:cs="Arial"/>
          <w:color w:val="000000"/>
          <w:sz w:val="17"/>
          <w:szCs w:val="17"/>
        </w:rPr>
        <w:t>, que lhe move sua esposa, por seu procurador infra-assinado, vem à presença de V. Exa.,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987590" w:rsidRDefault="00987590" w:rsidP="00987590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ARROLAMENTO DE BENS</w:t>
      </w:r>
    </w:p>
    <w:p w:rsidR="00987590" w:rsidRDefault="00987590" w:rsidP="00987590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dos art. 855 e seguintes do Código de Processo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também devidamente qualificada, pelas razões de fato e de direito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Conforme se pode verificar na referida Ação de Anulação de Casamento,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casaram-se na data de (xxx), sob o regime de comunhão universal de bens. Entretanto, após (xxx) anos de convivência, pretende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imputar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erro essencial quanto a sua pessoa, uma vez acreditar em falsas informações recebidas de que o seu marido seria um procurado traficante. Tal situação ensejou a propositura da referida ação de anulação do casamento, nos termos do art.1556 do Novo Código Civil. Cumpre frisar, que tais afirmações foram devidamente contestadas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Ora, em face dos termos da inicial e da própria pretensão de anulação do casamento, tem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fundado receio de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passe a dilapidar os bens do casal, em seu prejuízo e da prole. Ademais, necessário constar,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soube, mediante terceiros, conforme se comprovará através de depoimento testemunhal,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sondou diversas pessoas acerca da possibilidade, e outrossim, do interesse destas em adquirir alguns dos bens do casal;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Além do mais, torna-se de suma importância acrescentar, que o bem (xxx), de propriedade do casal, encontra-se, estranhamente, na casa de uma amiga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a Sra. (xxx). Interpelada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recusou-se a esclarecer como e porquê referido bem foi parar na casa desta senhora.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feita, é patente a tentativa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de se desfazer, furtivamente, do patrimônio do casal, e em lógica decorrência, torna-se imperiosa a aplicação de alguma medida que a impeça do contínuo dilapidamento.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Assim, segue aqui a lista dos bens do casal: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1(um) apartamento residencial à Rua (xxx), nº (xxx), Bairro (xxx), Cidade (xxx), Cep. (xxx), no Estado de (xxx), conforme cópia da certidão anexa (doc. 01);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1(um) automóvel (xxx), com as seguintes qualificações em anexo (doc. 02);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O montante em dinheiro depositado em caderneta de poupança do Banco (xxx), Agência (xxx), Conta Corrente (xxx), no valor de R$ (xxx)(valor expresso), conforme demonstrativo anexo (doc. 03).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"periculum in mora" e do "fumus boni juris"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Diante de todo o exposto, verifica-se a total plausibilidade da medida cautelar de arrolamento de bens, com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fundamento no artigo 855 do Código de Processo Civil,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855. Procede-se ao arrolamento sempre que há fundado receio de extravio ou de dissipação de bens."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Ademais, não se pode duvidar do interesse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na propositura de referida ação, eis que o faz no intuito de preservar o patrimônio da família. Destarte, encontra-se em perfeita consonância com o art. 856 do Código de Processo Civil, que se transcreve: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856. Pode requerer o arrolamento todo aquele que tem interesse na conservação dos bens.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1º O interesse do requerente pode resultar de direito já constituído ou que deva ser declarado em ação própria.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2º Aos credores só é permitido requerer arrolamento nos casos em que tenha lugar a arrecadação de herança."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art. 857 do CPC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  <w:t>1.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Inobstante a certidão de casamento acostada à esta peça inicial, demonstrando, assim, a união mediante comunhão universal de bens, traz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 escritura do apartamento referido no item 5, pertencente ao </w:t>
      </w:r>
      <w:r>
        <w:rPr>
          <w:rFonts w:ascii="Arial" w:hAnsi="Arial" w:cs="Arial"/>
          <w:color w:val="000000"/>
          <w:sz w:val="17"/>
          <w:szCs w:val="17"/>
          <w:u w:val="single"/>
        </w:rPr>
        <w:t>casal</w:t>
      </w:r>
      <w:r>
        <w:rPr>
          <w:rFonts w:ascii="Arial" w:hAnsi="Arial" w:cs="Arial"/>
          <w:color w:val="000000"/>
          <w:sz w:val="17"/>
          <w:szCs w:val="17"/>
        </w:rPr>
        <w:t xml:space="preserve">, o documento do carro em nome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embora a posse direta estaja com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e outrossim, o demonstrativo da caderneta de poupança em nome, também, do casal. Desta feita, a exigência do art. 857, I, do CPC, resta plenamente atendida.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Além disto, "os fatos em que funda o receio de extravio ou de dissipação dos bens", nos termos do art. 857, II, do CPC, restam sobejamente explanados, e outrossim, serão devidamente comprovados mediante o depoimento das testemunhas arroladas ao final.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1 -</w:t>
      </w:r>
      <w:r>
        <w:rPr>
          <w:rFonts w:ascii="Arial" w:hAnsi="Arial" w:cs="Arial"/>
          <w:color w:val="000000"/>
          <w:sz w:val="17"/>
          <w:szCs w:val="17"/>
        </w:rPr>
        <w:t xml:space="preserve"> Conforme facilmente se pode verificar, a concessão do arrolamento em tais hipóteses é agasalhada pela jurisprudência, como nos exemplos a seguir transcritos: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"Na verdade, o arrolamento cautelar de bens é a documentação da existência e estado de bens, sempre que houver fundado receio de extravio ou de dissipação, com o depósito em mãos de pessoa da confiança do Juízo. Visa o arrolamento preservar os bens a serem partilhados, tratando-se de medida puramente cautelar. "In casu", a liminar concedida revestiu-se de caráter conservativo e teve como finalidade, a de impedir que o agravante desse outra destinação aos referidos bens. É que a agravada demonstrou o fundado receio de extravio dos bens, os quais pretende conservar. Ademais, as controversas que recai sobre os bens arrolados, são questões a serem resolvidas no processo próprio, razão porque, confirmando a decisão objurgada e acolhendo a fala ministerial, nego provimento ao recurso. (TJMG - AGRAVO DE INSTRUMENTO Nº 000.185.935-4/00 - COMARCA DE TEÓFILO OTONI - Rel. GARCIA LEÃO - Data do acordão - 08/02/2001)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"EMENTA: MEDIDA CAUTELAR DE ARROLAMENTO DE BENS - CPC/ART. 856 - EVIDÊNCIAS DE RISCO DE PREJUÍZO À AUTORA - EXTINÇÃO DO PROCESSO SEM JULGAMENTO DE MÉRITO - INOPORTUNIDADE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- Destina-se a medida cautelar de arrolamento de bens a preservar os bens de interesse da parte autora, a teor do art. 856 do Estatuto Instrumentário Civil. Sua preservação perdura até que, na ação principal, se decida acerca de seu efetivo direito sobre eles e se afira o grau de sua participação, já que ela - a cautelar - não tem o condão de transferir bens, mas tão-só preservá-los temporariamente. Assim, se invocado o direito à meação dos bens adquiridos na constância do casamento e há evidências do risco de ficar a invocante sem nenhum deles, por ter seu ex- marido os colocado em nome de outrem, inoportuna é, por óbvio, a extinção do processo sem julgamento do mérito (CPC, art. 267, incisos I, IV e VI). (TJMG - APELAÇÃO CÍVEL Nº 000.189.110-0/00 - COMARCA DE UBERLÂNDIA - Rel. HYPARCO IMMESI - Data do acordão - 16/11/2000)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2 - </w:t>
      </w:r>
      <w:r>
        <w:rPr>
          <w:rFonts w:ascii="Arial" w:hAnsi="Arial" w:cs="Arial"/>
          <w:color w:val="000000"/>
          <w:sz w:val="17"/>
          <w:szCs w:val="17"/>
        </w:rPr>
        <w:t xml:space="preserve">Desta feita, é indubitável a plausibilidade da presente ação de arrolamento de bens, eis que presentes os requisitos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fumus boni juris</w:t>
      </w:r>
      <w:r>
        <w:rPr>
          <w:rFonts w:ascii="Arial" w:hAnsi="Arial" w:cs="Arial"/>
          <w:color w:val="000000"/>
          <w:sz w:val="17"/>
          <w:szCs w:val="17"/>
        </w:rPr>
        <w:t xml:space="preserve"> e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periculum in mora</w:t>
      </w:r>
      <w:r>
        <w:rPr>
          <w:rFonts w:ascii="Arial" w:hAnsi="Arial" w:cs="Arial"/>
          <w:color w:val="000000"/>
          <w:sz w:val="17"/>
          <w:szCs w:val="17"/>
        </w:rPr>
        <w:t xml:space="preserve">, atendendo-se, destarte, às determinações legais. Ademais, para que restem preservados os interesses do casal e da prole, torna-se de extrema significância e necessidade a adoção da referida medida.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 </w:t>
      </w:r>
      <w:r>
        <w:rPr>
          <w:rFonts w:ascii="Arial" w:hAnsi="Arial" w:cs="Arial"/>
          <w:color w:val="000000"/>
          <w:sz w:val="17"/>
          <w:szCs w:val="17"/>
        </w:rPr>
        <w:t xml:space="preserve">- Seja concedida a medida cautelar de arrolamento, sem audiência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pois do contrário comprometer-se-ia a medida, nomeando-se depositário, nos termos dos arts. 804 e 858 do CPC;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- Seja após, citado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a fim de que consteste os termos da inicial, no prazo de 5 dias determinado pelo art. 802 do CPC, sob pena de serem tidos como verdadeiros os fatos ora alegados, nos </w:t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termos do art. 803 do mesmo diploma legal.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III - </w:t>
      </w:r>
      <w:r>
        <w:rPr>
          <w:rFonts w:ascii="Arial" w:hAnsi="Arial" w:cs="Arial"/>
          <w:color w:val="000000"/>
          <w:sz w:val="17"/>
          <w:szCs w:val="17"/>
        </w:rPr>
        <w:t>Que ao final, seja a liminar de arrolamento de bens concedida, convertida em definitiva, ficando os bens arrolados sob a guarda do depositário, até que se proceda à definitiva partilha dos mesmos, na Ação de Anulação de Casamento.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(xxx)(valor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9875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27AE" w:rsidRDefault="001C27AE" w:rsidP="001C27AE">
      <w:r>
        <w:separator/>
      </w:r>
    </w:p>
  </w:endnote>
  <w:endnote w:type="continuationSeparator" w:id="0">
    <w:p w:rsidR="001C27AE" w:rsidRDefault="001C27AE" w:rsidP="001C2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AE" w:rsidRDefault="001C27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AE" w:rsidRPr="001C27AE" w:rsidRDefault="001C27AE" w:rsidP="001C27A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AE" w:rsidRDefault="001C27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27AE" w:rsidRDefault="001C27AE" w:rsidP="001C27AE">
      <w:r>
        <w:separator/>
      </w:r>
    </w:p>
  </w:footnote>
  <w:footnote w:type="continuationSeparator" w:id="0">
    <w:p w:rsidR="001C27AE" w:rsidRDefault="001C27AE" w:rsidP="001C2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AE" w:rsidRDefault="001C27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AE" w:rsidRPr="001C27AE" w:rsidRDefault="001C27AE" w:rsidP="001C27A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27AE" w:rsidRDefault="001C27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590"/>
    <w:rsid w:val="001C27AE"/>
    <w:rsid w:val="003D51C6"/>
    <w:rsid w:val="0098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72F34-69C8-43BC-95B6-DCBF8C39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87590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C27A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C27AE"/>
    <w:rPr>
      <w:sz w:val="24"/>
      <w:szCs w:val="24"/>
    </w:rPr>
  </w:style>
  <w:style w:type="paragraph" w:styleId="Rodap">
    <w:name w:val="footer"/>
    <w:basedOn w:val="Normal"/>
    <w:link w:val="RodapChar"/>
    <w:rsid w:val="001C27A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C27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1197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ARROLAMENTO DE BENS (Art</vt:lpstr>
    </vt:vector>
  </TitlesOfParts>
  <Company>MicroHardware</Company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ARROLAMENTO DE BENS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