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E9594" w14:textId="77777777" w:rsidR="001120D4" w:rsidRDefault="001120D4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CAUTELAR DE SEQÜESTRO (Art. 822 do CPC)</w:t>
      </w:r>
    </w:p>
    <w:p w14:paraId="426D1EF0" w14:textId="77777777" w:rsidR="001120D4" w:rsidRDefault="001120D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F48C4A9" w14:textId="77777777" w:rsidR="001120D4" w:rsidRDefault="001120D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5AD81AD" w14:textId="77777777" w:rsidR="001120D4" w:rsidRDefault="001120D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C54B478" w14:textId="77777777" w:rsidR="001120D4" w:rsidRDefault="001120D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b/>
          <w:bCs/>
          <w:color w:val="000000"/>
        </w:rPr>
        <w:t xml:space="preserve">Exmo. Sr. Dr. Juiz de Direito da (xxxª) Vara de Família da Comarca de (xxx) </w:t>
      </w:r>
      <w:r>
        <w:rPr>
          <w:color w:val="000000"/>
        </w:rPr>
        <w:br/>
        <w:t xml:space="preserve">Autos nº (xxx)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NOME DO REQUERENTE</w:t>
      </w:r>
      <w:r>
        <w:rPr>
          <w:color w:val="000000"/>
        </w:rPr>
        <w:t xml:space="preserve"> (ou Autor, Demandante, Suplicante), já qualificado nos autos da </w:t>
      </w:r>
      <w:r>
        <w:rPr>
          <w:b/>
          <w:bCs/>
          <w:color w:val="000000"/>
        </w:rPr>
        <w:t>AÇÃO DE ANULAÇÃO DE CASAMENTO</w:t>
      </w:r>
      <w:r>
        <w:rPr>
          <w:color w:val="000000"/>
        </w:rPr>
        <w:t xml:space="preserve">, que lhe move sua esposa, por seu procurador infra-assinado, vem à presença de V. Exa., requerer o </w:t>
      </w:r>
      <w:r>
        <w:rPr>
          <w:b/>
          <w:bCs/>
          <w:i/>
          <w:iCs/>
          <w:color w:val="000000"/>
        </w:rPr>
        <w:t>Seqüestro de Bens</w:t>
      </w:r>
      <w:r>
        <w:rPr>
          <w:color w:val="000000"/>
        </w:rPr>
        <w:t xml:space="preserve">, pelas razões que passa a expor: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1.</w:t>
      </w:r>
      <w:r>
        <w:rPr>
          <w:color w:val="000000"/>
        </w:rPr>
        <w:t xml:space="preserve"> O cônjuge está dilapidando os bens do casal, com efeito, vem liquidando as dívidas ativas a qualquer preço e vendendo, sem necessidade, bens, no evidente propósito de prejudicar o cônjuge, sem atender, sequer, ao interesse dos filhos menores, conforme se verifica da documentação anexa (docs.2/6), bem como há de se provar pelas testemunas arroladas em anexo.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 xml:space="preserve">2. </w:t>
      </w:r>
      <w:r>
        <w:rPr>
          <w:color w:val="000000"/>
        </w:rPr>
        <w:t xml:space="preserve">Nesses termos, o artigo 822, III, do Código de Processo Civil, dispõe: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 xml:space="preserve">"Art. 822. O juiz, a requerimento da parte, pode decretar o seqüestro: </w:t>
      </w:r>
      <w:r>
        <w:rPr>
          <w:i/>
          <w:iCs/>
          <w:color w:val="000000"/>
        </w:rPr>
        <w:br/>
        <w:t xml:space="preserve">I - de bens móveis, semoventes ou imóveis, quando lhes for disputada a propriedade ou a posse, havendo fundado receio de rixas ou danificações; </w:t>
      </w:r>
      <w:r>
        <w:rPr>
          <w:i/>
          <w:iCs/>
          <w:color w:val="000000"/>
        </w:rPr>
        <w:br/>
        <w:t xml:space="preserve">II - dos frutos e rendimentos do imóvel reivindicando, se o réu, depois de condenado por sentença ainda sujeita a recurso, os dissipar; </w:t>
      </w:r>
      <w:r>
        <w:rPr>
          <w:i/>
          <w:iCs/>
          <w:color w:val="000000"/>
        </w:rPr>
        <w:br/>
        <w:t xml:space="preserve">III - dos bens do casal, nas ações de desquite e de anulação de casamento, se o cônjuge os estiver dilapidando; </w:t>
      </w:r>
      <w:r>
        <w:rPr>
          <w:i/>
          <w:iCs/>
          <w:color w:val="000000"/>
        </w:rPr>
        <w:br/>
        <w:t>IV - nos demais casos expressos em lei.</w:t>
      </w:r>
      <w:r>
        <w:rPr>
          <w:color w:val="000000"/>
        </w:rPr>
        <w:t xml:space="preserve">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3.</w:t>
      </w:r>
      <w:r>
        <w:rPr>
          <w:color w:val="000000"/>
        </w:rPr>
        <w:t xml:space="preserve"> Ademais, faculta o Código Processual a concessão liminar, nos termos do artigo 804, verbis: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"Art. 804. É lícito ao juiz conceder liminarmente ou após justificação prévia a medida cautelar, sem ouvir o réu, quando verificar que este, sendo citado, poderá torná-la ineficaz, caso em que poderá determinar que o requerente preste caução real ou fidejussória de ressarcir os danos que o requerido possa vir a sofrer.</w:t>
      </w:r>
      <w:r>
        <w:rPr>
          <w:color w:val="000000"/>
        </w:rPr>
        <w:t xml:space="preserve">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lastRenderedPageBreak/>
        <w:br/>
      </w:r>
      <w:r>
        <w:rPr>
          <w:b/>
          <w:bCs/>
          <w:color w:val="000000"/>
        </w:rPr>
        <w:t>Pelo exposto, REQUER</w:t>
      </w:r>
      <w:r>
        <w:rPr>
          <w:color w:val="000000"/>
        </w:rPr>
        <w:t xml:space="preserve">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Sendo necessário mediante justificação prévia, mas inaudita altera parte, que V. Exa. se digne de determinar o seqüestro e depósito dos bens, prosseguindo-se, depois, como de direito.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Dá-se a causa o valor de R$ (xxx) (valor expresso).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Termos que </w:t>
      </w:r>
      <w:r>
        <w:rPr>
          <w:color w:val="000000"/>
        </w:rPr>
        <w:br/>
      </w:r>
      <w:r>
        <w:rPr>
          <w:color w:val="000000"/>
        </w:rPr>
        <w:br/>
        <w:t xml:space="preserve">Pede deferimento. </w:t>
      </w:r>
      <w:r>
        <w:rPr>
          <w:color w:val="000000"/>
        </w:rPr>
        <w:br/>
      </w:r>
      <w:r>
        <w:rPr>
          <w:color w:val="000000"/>
        </w:rPr>
        <w:br/>
        <w:t xml:space="preserve">(Local, data e ano). </w:t>
      </w:r>
      <w:r>
        <w:rPr>
          <w:color w:val="000000"/>
        </w:rPr>
        <w:br/>
      </w:r>
      <w:r>
        <w:rPr>
          <w:color w:val="000000"/>
        </w:rPr>
        <w:br/>
        <w:t xml:space="preserve">(Nome e assinatura do advogado). </w:t>
      </w:r>
    </w:p>
    <w:p w14:paraId="589C4BA4" w14:textId="77777777" w:rsidR="001120D4" w:rsidRDefault="001120D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F0EA9B7" w14:textId="77777777" w:rsidR="001120D4" w:rsidRDefault="001120D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091DB32" w14:textId="77777777" w:rsidR="001120D4" w:rsidRDefault="001120D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69307F9" w14:textId="77777777" w:rsidR="001120D4" w:rsidRDefault="001120D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1A5AA34" w14:textId="77777777" w:rsidR="001120D4" w:rsidRDefault="001120D4"/>
    <w:sectPr w:rsidR="001120D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50536" w14:textId="77777777" w:rsidR="005669CC" w:rsidRDefault="005669CC" w:rsidP="005669CC">
      <w:r>
        <w:separator/>
      </w:r>
    </w:p>
  </w:endnote>
  <w:endnote w:type="continuationSeparator" w:id="0">
    <w:p w14:paraId="6BAE5D19" w14:textId="77777777" w:rsidR="005669CC" w:rsidRDefault="005669CC" w:rsidP="00566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23FE7" w14:textId="77777777" w:rsidR="005669CC" w:rsidRDefault="005669C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BABEE" w14:textId="5B50EF53" w:rsidR="005669CC" w:rsidRPr="005669CC" w:rsidRDefault="005669CC" w:rsidP="005669C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31837" w14:textId="77777777" w:rsidR="005669CC" w:rsidRDefault="005669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7E534" w14:textId="77777777" w:rsidR="005669CC" w:rsidRDefault="005669CC" w:rsidP="005669CC">
      <w:r>
        <w:separator/>
      </w:r>
    </w:p>
  </w:footnote>
  <w:footnote w:type="continuationSeparator" w:id="0">
    <w:p w14:paraId="64626720" w14:textId="77777777" w:rsidR="005669CC" w:rsidRDefault="005669CC" w:rsidP="005669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E54D2" w14:textId="77777777" w:rsidR="005669CC" w:rsidRDefault="005669C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96063" w14:textId="7B1121F7" w:rsidR="005669CC" w:rsidRPr="005669CC" w:rsidRDefault="005669CC" w:rsidP="005669C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B5169" w14:textId="77777777" w:rsidR="005669CC" w:rsidRDefault="005669C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20D4"/>
    <w:rsid w:val="001120D4"/>
    <w:rsid w:val="0056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C7C9E0"/>
  <w15:chartTrackingRefBased/>
  <w15:docId w15:val="{1A5ACD0C-9366-437E-B167-5E5A1A311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669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669CC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669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669C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 OBRIGAÇÃO DE PRESTAR ALIMENTOS - I</vt:lpstr>
    </vt:vector>
  </TitlesOfParts>
  <Company>student</Company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OBRIGAÇÃO DE PRESTAR ALIMENTOS - I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2023-11-05T20:47:00Z</dcterms:modified>
</cp:coreProperties>
</file>