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B8E1F" w14:textId="77777777" w:rsidR="00224C96" w:rsidRDefault="00224C96" w:rsidP="00224C96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TÍTULO CAMBIAL (Decreto nº 2.044 de 31/12/1908)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2FB83253" w14:textId="77777777" w:rsidR="00224C96" w:rsidRDefault="00224C96" w:rsidP="00224C96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Distribuição em Apenso aos Autos nº: 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Excelência,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86F65AE" w14:textId="77777777" w:rsidR="00224C96" w:rsidRDefault="00224C96" w:rsidP="00224C96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ANULAÇÃO DE TÍTULO CAMBIAL</w:t>
      </w:r>
    </w:p>
    <w:p w14:paraId="749CA1A5" w14:textId="77777777" w:rsidR="00224C96" w:rsidRDefault="00224C96" w:rsidP="00224C96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(Nome da Instituição Bancária), pessoa jurídica privada, com sede em (xxx), na Rua (xxx), nº (xxx), bairro (xxx), Cep (xxx), no Estado (xxx), inscrito no C.N.P.J. sob o nº (xxx), e no Cadastro Estadual sob o nº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recebeu intimação expedida pelo (xxx)º Ofício de Protesto de Títulos desta Comarca, comunicando que foi apresentada para protesto,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a letra de câmbio, sem aceite, s/ nº, no valor de R$ (xxx) (Valor por extenso), com vencimento para o dia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No entanto, não há razão para o débito estampado na cártula, por não ter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recebido a mercadoria. Inclusive por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desconhecer a origem de tal título, não pode exarar seu aceite, via protesto, no mesmo.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sim é responsável pela cobrança de dívida inexistente, por haver sacado a letra de câmbio, e dado circulação à mesma.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Tão logo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tomou ciência de tal situação, cuidou de impetrar Medida Cautelar de Sustação de Protesto, distribuída para este responsável Juízo de Direito, sob nº (xxx), a qual teve deferido o pedido liminar de sustação dos competentes ofícios ao referido Cartório de Protesto.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distribuição por dependência da presente ação para este douto Juízo de Direito Cível, no que concerne à Medida Cautelar de Sustação de Protesto, determinando o apensamento dos autos;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 ação julgada procedente, decretando a nulidade da letra de câmbio;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–</w:t>
      </w:r>
      <w:r>
        <w:rPr>
          <w:rFonts w:ascii="Arial" w:hAnsi="Arial" w:cs="Arial"/>
          <w:color w:val="000000"/>
          <w:sz w:val="17"/>
          <w:szCs w:val="17"/>
        </w:rPr>
        <w:t xml:space="preserve">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citado para, querendo, contestar a presente ação, sob pena de serem reputados como verdadeiros os fatos alegados, nos termos do art. 319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IV </w:t>
      </w:r>
      <w:r>
        <w:rPr>
          <w:rFonts w:ascii="Arial" w:hAnsi="Arial" w:cs="Arial"/>
          <w:color w:val="000000"/>
          <w:sz w:val="17"/>
          <w:szCs w:val="17"/>
        </w:rPr>
        <w:t xml:space="preserve">-Seja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ao pagamento das despesas processuais e honorários advocatícios;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por todos os meios de provas admitidos em direito, em especial a documental, testemunhal e o depoimento pessoal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224C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A0231" w14:textId="77777777" w:rsidR="006A4F12" w:rsidRDefault="006A4F12" w:rsidP="006A4F12">
      <w:r>
        <w:separator/>
      </w:r>
    </w:p>
  </w:endnote>
  <w:endnote w:type="continuationSeparator" w:id="0">
    <w:p w14:paraId="5B9D1300" w14:textId="77777777" w:rsidR="006A4F12" w:rsidRDefault="006A4F12" w:rsidP="006A4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A321A" w14:textId="77777777" w:rsidR="006A4F12" w:rsidRDefault="006A4F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631C" w14:textId="7E8284F6" w:rsidR="006A4F12" w:rsidRPr="006A4F12" w:rsidRDefault="006A4F12" w:rsidP="006A4F1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6747D" w14:textId="77777777" w:rsidR="006A4F12" w:rsidRDefault="006A4F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5635A" w14:textId="77777777" w:rsidR="006A4F12" w:rsidRDefault="006A4F12" w:rsidP="006A4F12">
      <w:r>
        <w:separator/>
      </w:r>
    </w:p>
  </w:footnote>
  <w:footnote w:type="continuationSeparator" w:id="0">
    <w:p w14:paraId="2606175D" w14:textId="77777777" w:rsidR="006A4F12" w:rsidRDefault="006A4F12" w:rsidP="006A4F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2E5C" w14:textId="77777777" w:rsidR="006A4F12" w:rsidRDefault="006A4F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662DD" w14:textId="411284EE" w:rsidR="006A4F12" w:rsidRPr="006A4F12" w:rsidRDefault="006A4F12" w:rsidP="006A4F1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3A99" w14:textId="77777777" w:rsidR="006A4F12" w:rsidRDefault="006A4F1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4C96"/>
    <w:rsid w:val="00224C96"/>
    <w:rsid w:val="00372C86"/>
    <w:rsid w:val="006A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6318FB"/>
  <w15:chartTrackingRefBased/>
  <w15:docId w15:val="{5A4A32B3-3FDA-45F8-909B-7FCFBC14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24C96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A4F1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A4F12"/>
    <w:rPr>
      <w:sz w:val="24"/>
      <w:szCs w:val="24"/>
    </w:rPr>
  </w:style>
  <w:style w:type="paragraph" w:styleId="Rodap">
    <w:name w:val="footer"/>
    <w:basedOn w:val="Normal"/>
    <w:link w:val="RodapChar"/>
    <w:rsid w:val="006A4F1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A4F1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ANULAÇÃO DE TÍTULO CAMBIAL (Decreto nº 2</vt:lpstr>
    </vt:vector>
  </TitlesOfParts>
  <Company>MicroHardware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ANULAÇÃO DE TÍTULO CAMBIAL (Decreto nº 2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