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88F56" w14:textId="77777777" w:rsidR="00B57AB2" w:rsidRDefault="00B57AB2">
      <w:pPr>
        <w:widowControl/>
        <w:rPr>
          <w:lang w:val="en-US"/>
        </w:rPr>
      </w:pPr>
    </w:p>
    <w:p w14:paraId="0E9FB82D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AÇÃO MONITÓRIA - NOVO CPC</w:t>
      </w:r>
    </w:p>
    <w:p w14:paraId="20695956" w14:textId="77777777" w:rsidR="00B57AB2" w:rsidRDefault="00B57AB2">
      <w:pPr>
        <w:widowControl/>
        <w:rPr>
          <w:lang w:val="en-US"/>
        </w:rPr>
      </w:pPr>
    </w:p>
    <w:p w14:paraId="0494FA8F" w14:textId="77777777" w:rsidR="00B57AB2" w:rsidRDefault="00B57AB2">
      <w:pPr>
        <w:widowControl/>
        <w:rPr>
          <w:lang w:val="en-US"/>
        </w:rPr>
      </w:pPr>
    </w:p>
    <w:p w14:paraId="625CE9E8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1865EB2" w14:textId="77777777" w:rsidR="00B57AB2" w:rsidRDefault="00B57AB2">
      <w:pPr>
        <w:widowControl/>
        <w:rPr>
          <w:lang w:val="en-US"/>
        </w:rPr>
      </w:pPr>
    </w:p>
    <w:p w14:paraId="3AEB9E58" w14:textId="77777777" w:rsidR="00B57AB2" w:rsidRDefault="00B57AB2">
      <w:pPr>
        <w:widowControl/>
        <w:rPr>
          <w:lang w:val="en-US"/>
        </w:rPr>
      </w:pPr>
    </w:p>
    <w:p w14:paraId="7C265AF9" w14:textId="77777777" w:rsidR="00B57AB2" w:rsidRDefault="00B57AB2">
      <w:pPr>
        <w:widowControl/>
        <w:rPr>
          <w:lang w:val="en-US"/>
        </w:rPr>
      </w:pPr>
    </w:p>
    <w:p w14:paraId="667D0DD2" w14:textId="77777777" w:rsidR="00B57AB2" w:rsidRDefault="00B57AB2">
      <w:pPr>
        <w:widowControl/>
        <w:rPr>
          <w:lang w:val="en-US"/>
        </w:rPr>
      </w:pPr>
    </w:p>
    <w:p w14:paraId="66882BCB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 xml:space="preserve">(...), por seus advogados e procuradores (documento 1), vem, respeitosamente, à presença de Vossa Excelência, aforar em face de (...), a presente </w:t>
      </w:r>
    </w:p>
    <w:p w14:paraId="11050A47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Ação monitória</w:t>
      </w:r>
    </w:p>
    <w:p w14:paraId="0967FF1E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o que faz com supedâneo no artigo 700 do CPC, expondo e requerendo o quanto segue:</w:t>
      </w:r>
    </w:p>
    <w:p w14:paraId="75B2D3A6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I – Fatos</w:t>
      </w:r>
    </w:p>
    <w:p w14:paraId="686E7885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O réu é proprietário do imóvel onde reside, ostentando, portanto, a condição de condômino.</w:t>
      </w:r>
    </w:p>
    <w:p w14:paraId="711271D6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Todavia, não vem cumprindo sua obrigação de pagar as despesas condominiais de seu imóvel (documento 2 – cópia da matrícula), estando em débito com o pagamento dos meses de (...).</w:t>
      </w:r>
    </w:p>
    <w:p w14:paraId="6BA611AE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O réu também não cumpriu sua obrigação de pagar a cota extra aprovada na assembleia de (...) deste ano, por unanimidade, para instalação de porteiro eletrônico, inclusive já instalado na sua unidade (documento 3 – ata da Assembleia, bem como cópia da convocação específica).</w:t>
      </w:r>
    </w:p>
    <w:p w14:paraId="5D0132A0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A cota extra, referente ao porteiro eletrônico, importa em R$ (...).</w:t>
      </w:r>
    </w:p>
    <w:p w14:paraId="12000C0E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A Convenção de Condomínio (documento 1) estabelece o vencimento dos rateios de despesas condominiais no primeiro dia útil de cada mês, multa de 2% (dois por cento) para pagamento após o vencimento, prevendo, ainda, juros de mora de 1% (um por cento) ao mês e autoriza a cobrança de correção monetária desde o vencimento da obrigação, além de honorários advocatícios de 10% (Código Civil, art. 395).</w:t>
      </w:r>
    </w:p>
    <w:p w14:paraId="26DB2617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Até a presente data, assim está demonstrado o débito do Réu:</w:t>
      </w:r>
    </w:p>
    <w:p w14:paraId="40511241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(Planilha)</w:t>
      </w:r>
    </w:p>
    <w:p w14:paraId="01360F8C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Ocorre que, no último dia 15, após ter recebido carta de cobrança enviada pela administradora do condomínio, delegada pelo síndico, o réu transmitiu e-mail com solicitação de prorrogação para quitação do débito, que, portanto, reconheceu (documento 4).</w:t>
      </w:r>
    </w:p>
    <w:p w14:paraId="11FF2FB9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Anexa à presente ação o autor oferece cópia da ata da Assembleia Geral Ordinária que aprovou a previsão orçamentária (documento 5). Oferece, ainda, a prova de comunicação tempestiva do valor das despesas, tanto as ordinárias como as extraordinárias (documento 6).</w:t>
      </w:r>
    </w:p>
    <w:p w14:paraId="05D69917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II – Direito</w:t>
      </w:r>
    </w:p>
    <w:p w14:paraId="14BBADE9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Absolutamente possível a cobrança de débitos condominiais pela ação monitória, acorde com jurisprudência do Superior Tribunal de Justiça, nos casos em que o credor dispõe de título executivo (REsp 210.030-RJ – Rel. Min. Nilson Naves; REsp 182.084-MG – Rel. Ministro Ari Pargendler; REsp 1259840 – Rel. Min. Masami Uyeda – DJ 01.08.2011 e REsp 151818 – Rel. Min. Vasco Dela Giustina – DJ 23.02.2011).</w:t>
      </w:r>
    </w:p>
    <w:p w14:paraId="7F0B755B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III – Requerimento</w:t>
      </w:r>
    </w:p>
    <w:p w14:paraId="75A224F8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Isto posto, requer o autor:</w:t>
      </w:r>
    </w:p>
    <w:p w14:paraId="68713EE5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I) Deferimento de plano da expedição do mandado de pagamento, citando o réu para, pagar o valor de R$ (...), acrescido de juros, custas, honorários de 5% e demais despesas, facultando-se ao réu, no prazo de 15 dias:</w:t>
      </w:r>
    </w:p>
    <w:p w14:paraId="5B86BA52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a) entregar a quantia supra, caso em que ficará isento do pagamento das custas (art. 701, § 1º, do CPC), ou;</w:t>
      </w:r>
    </w:p>
    <w:p w14:paraId="5AA6C18A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lastRenderedPageBreak/>
        <w:t>b) oferecer embargos, nos próprios autos (art. 702 do CPC), ficando esclarecido que se o réu se omitir ou os embargos forem rejeitados, o mandado de pagamento deverá ser convertido em mandado de execução (CPC, art. 702, § 8º) com os acréscimos legais, seguindo o procedimento do art. 537 e seguintes do Código de Processo Civil.</w:t>
      </w:r>
    </w:p>
    <w:p w14:paraId="4A5BBE99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Requer-se, finalmente, a produção das provas a seguir mencionadas.</w:t>
      </w:r>
    </w:p>
    <w:p w14:paraId="3CABC9E6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IV – Provas</w:t>
      </w:r>
    </w:p>
    <w:p w14:paraId="256D5FFD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Requer-se a produção de prova documental, testemunhal, pericial, inspeção judicial e de todos os meios probantes em direito admitidos, especialmente o depoimento pessoal do Réu, sob pena de confissão se não comparecer ou, comparecendo, se negar a depor.</w:t>
      </w:r>
    </w:p>
    <w:p w14:paraId="700821CF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V – Valor da causa</w:t>
      </w:r>
    </w:p>
    <w:p w14:paraId="0305E52F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Dá-se à presente o valor de R$ (...).</w:t>
      </w:r>
    </w:p>
    <w:p w14:paraId="1435ED9B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Termos em que, cumpridas as necessárias formalidades legais, deve a presente ser recebida, ao final, julgada procedente, como medida de inteira Justiça.</w:t>
      </w:r>
    </w:p>
    <w:p w14:paraId="73E90942" w14:textId="77777777" w:rsidR="00B57AB2" w:rsidRDefault="00B57AB2">
      <w:pPr>
        <w:widowControl/>
        <w:rPr>
          <w:lang w:val="en-US"/>
        </w:rPr>
      </w:pPr>
    </w:p>
    <w:p w14:paraId="4E15116D" w14:textId="77777777" w:rsidR="00B57AB2" w:rsidRDefault="00B57AB2">
      <w:pPr>
        <w:widowControl/>
        <w:rPr>
          <w:lang w:val="en-US"/>
        </w:rPr>
      </w:pPr>
    </w:p>
    <w:p w14:paraId="194A6488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5FF7864" w14:textId="77777777" w:rsidR="00B57AB2" w:rsidRDefault="00B57AB2">
      <w:pPr>
        <w:widowControl/>
        <w:rPr>
          <w:lang w:val="en-US"/>
        </w:rPr>
      </w:pPr>
    </w:p>
    <w:p w14:paraId="44BA7D01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15A5FB0" w14:textId="77777777" w:rsidR="00B57AB2" w:rsidRDefault="00B57AB2">
      <w:pPr>
        <w:widowControl/>
        <w:rPr>
          <w:lang w:val="en-US"/>
        </w:rPr>
      </w:pPr>
    </w:p>
    <w:p w14:paraId="4315B1FD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25A0297" w14:textId="77777777" w:rsidR="00B57AB2" w:rsidRDefault="00B57AB2">
      <w:pPr>
        <w:widowControl/>
        <w:rPr>
          <w:lang w:val="en-US"/>
        </w:rPr>
      </w:pPr>
    </w:p>
    <w:p w14:paraId="42221FDD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22D464A" w14:textId="77777777" w:rsidR="00B57AB2" w:rsidRDefault="00B57AB2">
      <w:pPr>
        <w:widowControl/>
        <w:rPr>
          <w:lang w:val="en-US"/>
        </w:rPr>
      </w:pPr>
    </w:p>
    <w:p w14:paraId="0DEE5908" w14:textId="77777777" w:rsidR="00B57AB2" w:rsidRDefault="00B57AB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BDA3AB6" w14:textId="77777777" w:rsidR="00B57AB2" w:rsidRDefault="00B57AB2">
      <w:pPr>
        <w:widowControl/>
        <w:rPr>
          <w:lang w:val="en-US"/>
        </w:rPr>
      </w:pPr>
    </w:p>
    <w:sectPr w:rsidR="00B57A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B9BB0" w14:textId="77777777" w:rsidR="00605511" w:rsidRDefault="00605511" w:rsidP="00605511">
      <w:r>
        <w:separator/>
      </w:r>
    </w:p>
  </w:endnote>
  <w:endnote w:type="continuationSeparator" w:id="0">
    <w:p w14:paraId="0DE9312B" w14:textId="77777777" w:rsidR="00605511" w:rsidRDefault="00605511" w:rsidP="00605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A7D71" w14:textId="77777777" w:rsidR="00605511" w:rsidRDefault="006055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3F731" w14:textId="09FA8930" w:rsidR="00605511" w:rsidRPr="00605511" w:rsidRDefault="00605511" w:rsidP="0060551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AF9C8" w14:textId="77777777" w:rsidR="00605511" w:rsidRDefault="006055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A09EB" w14:textId="77777777" w:rsidR="00605511" w:rsidRDefault="00605511" w:rsidP="00605511">
      <w:r>
        <w:separator/>
      </w:r>
    </w:p>
  </w:footnote>
  <w:footnote w:type="continuationSeparator" w:id="0">
    <w:p w14:paraId="4D3AF2F8" w14:textId="77777777" w:rsidR="00605511" w:rsidRDefault="00605511" w:rsidP="00605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1E685" w14:textId="77777777" w:rsidR="00605511" w:rsidRDefault="006055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AFBCA" w14:textId="4D0312F1" w:rsidR="00605511" w:rsidRPr="00605511" w:rsidRDefault="00605511" w:rsidP="0060551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413E1" w14:textId="77777777" w:rsidR="00605511" w:rsidRDefault="0060551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57AB2"/>
    <w:rsid w:val="00605511"/>
    <w:rsid w:val="00B5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A8CDC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0551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551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0551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551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586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2023-11-05T20:56:00Z</dcterms:modified>
</cp:coreProperties>
</file>