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05154" w14:textId="77777777" w:rsidR="00CC00B4" w:rsidRDefault="00CC00B4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COBRANÇA POR CONTRATAÇÃO DE SERVIÇOS DE TERCEIROS (Art. 40, § 3º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7FD0452" w14:textId="77777777" w:rsidR="00CC00B4" w:rsidRDefault="00CC00B4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com fundamento no artigo 40, § 3º do Código de Defesa do Consumidor apresentar 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309B7A8F" w14:textId="77777777" w:rsidR="00CC00B4" w:rsidRDefault="00CC00B4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COBRANÇA</w:t>
      </w:r>
    </w:p>
    <w:p w14:paraId="57B97F56" w14:textId="77777777" w:rsidR="00CC00B4" w:rsidRDefault="00CC00B4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orçou em R$ (xxx) (Valor expresso) para fazer o conserto no automóvel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. O serviço incluía a chapeação, pintura, reparos no motor e suspensão, conforme cópia do orçamento em anexo (doc. 2).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Porém, agora o ora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pretende o recebimento da quantia de R$ (xxx) (Valor expresso), referente a serviços de funilaria terceirizados. Considerando que a funilaria faz parte do serviço de chapeação, este valor não é devido, uma vez que já estava incluído no valor do orçamento.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Neste sentido, dispõe o artigo 40, § 3º do CDC: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"Art. 40. O fornecedor de serviço será obrigado a entregar ao consumidor orçamento prévio discriminando o valor da mão-de-obra, dos materiais e equipamentos a serem empregados, as condições de pagamento, bem como as datas de início e término dos serviços.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(...)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§ 3º O consumidor não responde por quaisquer ônus ou acréscimos decorrentes da contratação de serviços de terceiros, não previstos no orçamento prévio."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Descabe, portanto, o pedido do autor, pois se trata de aumento do valor previamente combinado, sem justificativa aceitável.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Seja indeferido o pedido inicial, em atenção ao artigo 40, § 3º do CDC, declarando-se inexistente o valor combrado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o alegado através de prova documental, testemunhal e demais meios de prova em Direito admitidas, consoante o disposto no art. 332 do Código de Processo Civil.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CC00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352FB" w14:textId="77777777" w:rsidR="00482237" w:rsidRDefault="00482237" w:rsidP="00482237">
      <w:r>
        <w:separator/>
      </w:r>
    </w:p>
  </w:endnote>
  <w:endnote w:type="continuationSeparator" w:id="0">
    <w:p w14:paraId="2812A93F" w14:textId="77777777" w:rsidR="00482237" w:rsidRDefault="00482237" w:rsidP="0048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8FF4" w14:textId="77777777" w:rsidR="00482237" w:rsidRDefault="004822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C761A" w14:textId="11035BF8" w:rsidR="00482237" w:rsidRPr="00482237" w:rsidRDefault="00482237" w:rsidP="0048223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5B002" w14:textId="77777777" w:rsidR="00482237" w:rsidRDefault="004822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5DD60" w14:textId="77777777" w:rsidR="00482237" w:rsidRDefault="00482237" w:rsidP="00482237">
      <w:r>
        <w:separator/>
      </w:r>
    </w:p>
  </w:footnote>
  <w:footnote w:type="continuationSeparator" w:id="0">
    <w:p w14:paraId="4174CA17" w14:textId="77777777" w:rsidR="00482237" w:rsidRDefault="00482237" w:rsidP="00482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4836A" w14:textId="77777777" w:rsidR="00482237" w:rsidRDefault="0048223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2593C" w14:textId="676E641B" w:rsidR="00482237" w:rsidRPr="00482237" w:rsidRDefault="00482237" w:rsidP="0048223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3C0EB" w14:textId="77777777" w:rsidR="00482237" w:rsidRDefault="0048223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0B4"/>
    <w:rsid w:val="00482237"/>
    <w:rsid w:val="00CC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B66B12"/>
  <w15:chartTrackingRefBased/>
  <w15:docId w15:val="{2AF401DB-7BC3-4931-9962-559645AA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4822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223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822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223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COBRANÇA POR CONTRATAÇÃO DE SERVIÇOS DE TERCEIROS (Art</vt:lpstr>
    </vt:vector>
  </TitlesOfParts>
  <Company>jorge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COBRANÇA POR CONTRATAÇÃO DE SERVIÇOS DE TERCEIROS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