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C79AA" w14:textId="77777777" w:rsidR="006D22AF" w:rsidRDefault="006D22AF">
      <w:pPr>
        <w:widowControl/>
        <w:rPr>
          <w:lang w:val="en-US"/>
        </w:rPr>
      </w:pPr>
    </w:p>
    <w:p w14:paraId="44344886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CONTESTAÇÃO - EMBARGOS DE TERCEIRO - ALIENAÇÃO DE BEM PENHORADO - NOVO CPC</w:t>
      </w:r>
    </w:p>
    <w:p w14:paraId="24CF0763" w14:textId="77777777" w:rsidR="006D22AF" w:rsidRDefault="006D22AF">
      <w:pPr>
        <w:widowControl/>
        <w:rPr>
          <w:lang w:val="en-US"/>
        </w:rPr>
      </w:pPr>
    </w:p>
    <w:p w14:paraId="355B181D" w14:textId="77777777" w:rsidR="006D22AF" w:rsidRDefault="006D22AF">
      <w:pPr>
        <w:widowControl/>
        <w:rPr>
          <w:lang w:val="en-US"/>
        </w:rPr>
      </w:pPr>
    </w:p>
    <w:p w14:paraId="02B8DE64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09384B3E" w14:textId="77777777" w:rsidR="006D22AF" w:rsidRDefault="006D22AF">
      <w:pPr>
        <w:widowControl/>
        <w:rPr>
          <w:lang w:val="en-US"/>
        </w:rPr>
      </w:pPr>
    </w:p>
    <w:p w14:paraId="4FAB43BF" w14:textId="77777777" w:rsidR="006D22AF" w:rsidRDefault="006D22AF">
      <w:pPr>
        <w:widowControl/>
        <w:rPr>
          <w:lang w:val="en-US"/>
        </w:rPr>
      </w:pPr>
    </w:p>
    <w:p w14:paraId="7852C606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A83C852" w14:textId="77777777" w:rsidR="006D22AF" w:rsidRDefault="006D22AF">
      <w:pPr>
        <w:widowControl/>
        <w:rPr>
          <w:lang w:val="en-US"/>
        </w:rPr>
      </w:pPr>
    </w:p>
    <w:p w14:paraId="4CA8BA3F" w14:textId="77777777" w:rsidR="006D22AF" w:rsidRDefault="006D22AF">
      <w:pPr>
        <w:widowControl/>
        <w:rPr>
          <w:lang w:val="en-US"/>
        </w:rPr>
      </w:pPr>
    </w:p>
    <w:p w14:paraId="7FFDCF29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COOPERATIVA DE ECONOMIA ____________, pessoa jurídica de direito privado, inscrita no CNPJ sob nº ____________, com sede à Rua ____________, ____, ___º andar, Bairro ____________, CEP ____________, ____________, ___, por seu procurador firmatário, nos termos do instrumento incluso (Doc. 01), o qual recebe intimações no endereço contido no rodapé desta petição, vem, respeitosamente à presença de V. Exª, apresentar</w:t>
      </w:r>
    </w:p>
    <w:p w14:paraId="470154A6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CONTESTAÇÃO AOS EMBARGOS DE TERCEIRO, nos termos do art. 679 do CPC/2015, opostos por</w:t>
      </w:r>
    </w:p>
    <w:p w14:paraId="19194EC8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 xml:space="preserve"> ____________ Ltda., qualificada nos autos, de acordo com as razões de fato e de direito que a seguir passa a expor:</w:t>
      </w:r>
    </w:p>
    <w:p w14:paraId="7AF00666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A Embargante opõe-se, por meio da presente ação, à penhora de veículo efetivada nos autos da ação de execução nº ____________, movida pela Embargada contra ____________ e outro.</w:t>
      </w:r>
    </w:p>
    <w:p w14:paraId="65327CA6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Alega, como fundamento de seu pedido, “[...] que por ocasião da tradição, o veículo contava apenas com registro de alienação fiduciária, com o que, desde logo, configurada a boa-fé da Embargante” (fls. ___).</w:t>
      </w:r>
    </w:p>
    <w:p w14:paraId="5CE4E769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Ocorre que tal assertiva não corresponde à verdade.</w:t>
      </w:r>
    </w:p>
    <w:p w14:paraId="548E91B1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O Executado ____________ foi citado (30/12/20__, fls. ___) e não fez indicação de bens à penhora (fls. ___).</w:t>
      </w:r>
    </w:p>
    <w:p w14:paraId="7C781860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A Exequente promoveu pesquisa de bens e somente localizou, para fins de penhora, o automóvel placa ____________ (fls. ___).</w:t>
      </w:r>
    </w:p>
    <w:p w14:paraId="264C1C5A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A penhora sobre o referido automóvel foi deferida em 20/01/20__ (fls. ___).</w:t>
      </w:r>
    </w:p>
    <w:p w14:paraId="50E87DBD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Foi expedido ofício ao DETRAN com respeito à referida constrição em 04/02/20__ (fls. 67), tendo o órgão informado que procedeu ao registro em 13/02/20__ (fls. ___).</w:t>
      </w:r>
    </w:p>
    <w:p w14:paraId="022C9BB9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Tomando-se a data constante no instrumento de liberação de fls. ___, verifica-se que foi passado somente em abril/20__.</w:t>
      </w:r>
    </w:p>
    <w:p w14:paraId="045EB671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 xml:space="preserve">Outrossim, os documentos juntados com a inicial dos presentes embargos referem que a data do pedido, ou seja, a data em que se deu o início do negócio envolvendo a Embargante e o Executado ____________, foi 21/03/20__ (fls. ___). </w:t>
      </w:r>
    </w:p>
    <w:p w14:paraId="4089C34D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Presume-se, ainda, que o acerto tenha sido concluído somente após a obtenção da liberação da alienação fiduciária, o que ocorreu em abril de 2003, conforme antes referido.</w:t>
      </w:r>
    </w:p>
    <w:p w14:paraId="00163EED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Percebe-se, portanto, que a alienação deu-se em momento posterior à penhora e a comunicação ao DETRAN.</w:t>
      </w:r>
    </w:p>
    <w:p w14:paraId="7078CC1B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Tendo sido alienado bem penhorado, essa alienação não produz efeitos com relação à Exequente, ora Embargada.</w:t>
      </w:r>
    </w:p>
    <w:p w14:paraId="653B28FC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E, mesmo que assim não fosse, deu-se a venda em momento posterior à citação do Executado, não tendo este ficado com bens suficientes para garantia do débito exequendo.</w:t>
      </w:r>
    </w:p>
    <w:p w14:paraId="29A038DE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lastRenderedPageBreak/>
        <w:t>Incide, desse modo, a norma insculpida no art. 792, II, do CPC/2015, pela qual “A alienação ou a oneração de bem é considerada fraude à execução: [...] II – quando, ao tempo da alienação ou da oneração, tramitava contra o devedor ação capaz de reduzi-lo à insolvência”.</w:t>
      </w:r>
    </w:p>
    <w:p w14:paraId="02B27704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Convém, para melhor esclarecimento, transcrever lição doutrinária acerca do assunto:</w:t>
      </w:r>
    </w:p>
    <w:p w14:paraId="138C8A2E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“Distinção entre fraude à execução (inciso II) e alienação de bens penhorados – Presentes os requisitos objetivos da litispendência e da insolvência, a alienação ou oneração de bens penhoráveis é ineficaz perante a execução [...], sendo despiciendo qualquer exame sobre as condições subjetivas de culpa ou má-fé. Não se exige, tampouco, prévia constrição judicial do bem por penhora, arresto, sequestro ou qualquer medida semelhante, e nem, portanto, qualquer registro. Convém evitar a confusão – frequente na doutrina e na jurisprudência – entre (a) a fraude à execução prevista  [...], cuja configuração supõe litispendência e insolvência, e (b) a alienação de bem penhorado (ou arrestado, ou sequestrado), que é ineficaz perante a execução independentemente de ser o devedor insolvente ou não. Da distinção entre as duas resultam importantes consequências: se o devedor for solvente, a alienação de seus bens é válida e eficaz a não ser que (a) se trate de bem já penhorado ou, por qualquer outra forma, submetido a constrição judicial, e (b) que o terceiro adquirente tenha ciência – pelo registro ou por outro meio – da existência daquela constrição; mas, se o devedor for insolvente, a alienação será ineficaz em face da execução, independentemente de constrição judicial do bem ou da cientificação formal da litispendência e da insolvência ao terceiro adquirente. Emerge daí a providência elementar e indispensável, quando da celebração de negócios com bens de maior valor, de atender ao “dever social [...] de se verificar a situação patrimonial daquele que irá transferir ou gravar um bem, procedendo, mais ainda, em relação ao atual e anteriores proprietários, a um crivo generalizado junto ao foro cível, através da coleta de negativas forenses.”</w:t>
      </w:r>
    </w:p>
    <w:p w14:paraId="119DC342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(ZAVASCKI, T. A. Comentários ao Código de Processo Civil. São Paulo : RT, v. 8, 2000. p. 286-287)</w:t>
      </w:r>
    </w:p>
    <w:p w14:paraId="6C587C76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No caso em tela, configuram-se ambas as hipóteses: a) alienação de bem de devedor insolvente em época na qual já pendia ação de execução; b) alienação de bem penhorado.</w:t>
      </w:r>
    </w:p>
    <w:p w14:paraId="19ABB1A2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 xml:space="preserve">Finalmente, não se sustenta sequer a alegação de boa-fé por parte da Embargante. </w:t>
      </w:r>
    </w:p>
    <w:p w14:paraId="6ACA4394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Consoante acima demonstrado, já existia, à época do negócio, publicidade da penhora junto ao registro do DETRAN.</w:t>
      </w:r>
    </w:p>
    <w:p w14:paraId="6C8F79A7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Em se tratando a Embargante de revendedora de automóveis, presume-se que, conhecedora do ramo no qual atua e dos riscos envolvidos, não efetue negociação sem antes se acercar das devidas cautelas quanto à idoneidade do negócio.</w:t>
      </w:r>
    </w:p>
    <w:p w14:paraId="573AE34B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Não se pode, assim, admitir-se a possibilidade de que uma revendedora de automóveis receba um veículo em pagamento, na troca por um novo, sem antes verificar a situação legal do bem e do vendedor. E, caso o tenha feito, trata-se de risco do negócio que resolveu, por conta própria, suportar.</w:t>
      </w:r>
    </w:p>
    <w:p w14:paraId="092E962E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Isto posto, requer a total improcedência dos embargos, sendo a Embargante condenada ao pagamento das custas processuais e honorários advocatícios. Protesta em provar o alegado por todos os meios em direito admitidos.</w:t>
      </w:r>
    </w:p>
    <w:p w14:paraId="5B4425B2" w14:textId="77777777" w:rsidR="006D22AF" w:rsidRDefault="006D22AF">
      <w:pPr>
        <w:widowControl/>
        <w:rPr>
          <w:lang w:val="en-US"/>
        </w:rPr>
      </w:pPr>
    </w:p>
    <w:p w14:paraId="60670656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B6B07ED" w14:textId="77777777" w:rsidR="006D22AF" w:rsidRDefault="006D22AF">
      <w:pPr>
        <w:widowControl/>
        <w:rPr>
          <w:lang w:val="en-US"/>
        </w:rPr>
      </w:pPr>
    </w:p>
    <w:p w14:paraId="041C0484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41E5E158" w14:textId="77777777" w:rsidR="006D22AF" w:rsidRDefault="006D22AF">
      <w:pPr>
        <w:widowControl/>
        <w:rPr>
          <w:lang w:val="en-US"/>
        </w:rPr>
      </w:pPr>
    </w:p>
    <w:p w14:paraId="2B02B8F3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227DFCCC" w14:textId="77777777" w:rsidR="006D22AF" w:rsidRDefault="006D22AF">
      <w:pPr>
        <w:widowControl/>
        <w:rPr>
          <w:lang w:val="en-US"/>
        </w:rPr>
      </w:pPr>
    </w:p>
    <w:p w14:paraId="5657F2A1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0703E023" w14:textId="77777777" w:rsidR="006D22AF" w:rsidRDefault="006D22AF">
      <w:pPr>
        <w:widowControl/>
        <w:rPr>
          <w:lang w:val="en-US"/>
        </w:rPr>
      </w:pPr>
    </w:p>
    <w:p w14:paraId="3ABA436E" w14:textId="77777777" w:rsidR="006D22AF" w:rsidRDefault="006D22AF">
      <w:pPr>
        <w:widowControl/>
        <w:rPr>
          <w:lang w:val="en-US"/>
        </w:rPr>
      </w:pPr>
      <w:r>
        <w:rPr>
          <w:lang w:val="en-US"/>
        </w:rPr>
        <w:lastRenderedPageBreak/>
        <w:t>[Nome Advogado] - [OAB] [UF].</w:t>
      </w:r>
    </w:p>
    <w:p w14:paraId="16B9ACF4" w14:textId="77777777" w:rsidR="006D22AF" w:rsidRDefault="006D22AF">
      <w:pPr>
        <w:widowControl/>
        <w:rPr>
          <w:lang w:val="en-US"/>
        </w:rPr>
      </w:pPr>
    </w:p>
    <w:sectPr w:rsidR="006D22A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8A52C" w14:textId="77777777" w:rsidR="00EA47DA" w:rsidRDefault="00EA47DA" w:rsidP="00EA47DA">
      <w:r>
        <w:separator/>
      </w:r>
    </w:p>
  </w:endnote>
  <w:endnote w:type="continuationSeparator" w:id="0">
    <w:p w14:paraId="68A5C7F3" w14:textId="77777777" w:rsidR="00EA47DA" w:rsidRDefault="00EA47DA" w:rsidP="00EA4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6DDC5" w14:textId="77777777" w:rsidR="00EA47DA" w:rsidRDefault="00EA47D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B5462" w14:textId="6B377C5A" w:rsidR="00EA47DA" w:rsidRPr="00EA47DA" w:rsidRDefault="00EA47DA" w:rsidP="00EA47D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7D255" w14:textId="77777777" w:rsidR="00EA47DA" w:rsidRDefault="00EA47D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ECE70" w14:textId="77777777" w:rsidR="00EA47DA" w:rsidRDefault="00EA47DA" w:rsidP="00EA47DA">
      <w:r>
        <w:separator/>
      </w:r>
    </w:p>
  </w:footnote>
  <w:footnote w:type="continuationSeparator" w:id="0">
    <w:p w14:paraId="1BF93C6A" w14:textId="77777777" w:rsidR="00EA47DA" w:rsidRDefault="00EA47DA" w:rsidP="00EA47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663C1" w14:textId="77777777" w:rsidR="00EA47DA" w:rsidRDefault="00EA47D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28912" w14:textId="46ACB8B9" w:rsidR="00EA47DA" w:rsidRPr="00EA47DA" w:rsidRDefault="00EA47DA" w:rsidP="00EA47D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E05AB" w14:textId="77777777" w:rsidR="00EA47DA" w:rsidRDefault="00EA47D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D22AF"/>
    <w:rsid w:val="006D22AF"/>
    <w:rsid w:val="00EA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B0669E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A47D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A47DA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A47D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A47DA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945</Words>
  <Characters>5104</Characters>
  <Application>Microsoft Office Word</Application>
  <DocSecurity>0</DocSecurity>
  <Lines>42</Lines>
  <Paragraphs>12</Paragraphs>
  <ScaleCrop>false</ScaleCrop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2023-11-05T21:02:00Z</dcterms:modified>
</cp:coreProperties>
</file>