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  <w:r>
        <w:rPr>
          <w:lang w:val="en-US"/>
        </w:rPr>
        <w:t>EMBARGOS DE DECLARAÇÃO - II - NOVO CPC</w:t>
      </w: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por seu advogado infra-assinado, que move contra __________, vem perante Vossa Excelência, com fulcro nos arts. 1.022 e ss. Do CPC, propor EMBARGOS DE DECLARAÇÃO à r. sentença proferida pelo i. Magistrado as fls. __, pelas razões que passa a expor:</w:t>
      </w: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  <w:r>
        <w:rPr>
          <w:lang w:val="en-US"/>
        </w:rPr>
        <w:t>A sentença, da qual foram às partes intimadas por meio da Nota de Expediente nº ____, publicada em __/__/__, deu integral procedência da demanda.</w:t>
      </w: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  <w:r>
        <w:rPr>
          <w:lang w:val="en-US"/>
        </w:rPr>
        <w:t>Todavia, em que pese ter sido totalmente procedente, verifica-se no dispositivo da sentença, que a revisão do contrato concedida se dará somente a partir da parcela vencida em ___/__/__, quando o pedido que foi feito na inicial diz respeito a toda relação contratual.</w:t>
      </w: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  <w:r>
        <w:rPr>
          <w:lang w:val="en-US"/>
        </w:rPr>
        <w:t>Importante salientar que fundamenta a causa de pedir, além da onerosidade excessiva, a nulidade da cláusula contratual que estabeleceu a variação cambial como índice de correção; assim como também é nula a cobrança de juros mensalmente capitalizados.</w:t>
      </w: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  <w:r>
        <w:rPr>
          <w:lang w:val="en-US"/>
        </w:rPr>
        <w:t>Fundamentamos nosso pedido de nulidade de cobrança de juros mensalmente capitalizados não expressamente pactuada, conforme decisão de tribunais superiores, verbis:</w:t>
      </w: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  <w:r>
        <w:rPr>
          <w:lang w:val="en-US"/>
        </w:rPr>
        <w:t xml:space="preserve">AGRAVO REGIMENTAL NO RECURSO ESPECIAL. AÇÃO REVISIONAL. CONTRATO BANCÁRIO. CAPITALIZAÇÃO MENSAL DOS JUROS AFASTADA. DESCARACTERIZAÇÃO DA MORA. COMPENSAÇÃO/REPETIÇÃO SIMPLES DO INDÉBITO. SÚMULA 322/STJ. 1. No tocante à capitalização dos juros, a Segunda Seção adotou, [...] o entendimento de que "A capitalização de juros em periodicidade inferior à anual deve vir pactuada de forma expressa e clara. A previsão no contrato bancário de taxa de juros anual superior ao duodécuplo da mensal é suficiente para permitir a cobrança da taxa efetiva anual contratada" (2ª Seção, Resp 973.827/RS, acórdão de minha relatoria, Dje de 24.09.2012). No caso dos autos, todavia, verificada a ausência de informação acerca da taxa de juros anual aplicada no contrato, deve ser afastada a capitalização mensal dos juros. 2. "O reconhecimento da abusividade nos encargos exigidos no período da normalidade contratual (juros remuneratórios e capitalização) descaracteriza a mora". (Resp 1.061.530/RS, Rel. Ministra Nancy Andrighi, Segunda Seção, Dje de 10.03.2009). 3. A jurisprudência desta Corte firmou o entendimento de que é cabível a compensação/repetição do indébito, de forma simples, não em dobro, quando verificada a cobrança de encargos ilegais, tendo em vista o princípio que veda o enriquecimento sem causa do credor, independentemente da comprovação do equívoco no pagamento, pois diante da complexidade do contrato em discussão não se pode considerar que o devedor pretendia quitar voluntariamente débito constituído em desacordo com a legislação aplicável à espécie. A questão está pacificada por intermédio do enunciado 322 da Súmula do STJ. 4. Agravo regimental a que se nega </w:t>
      </w:r>
      <w:r>
        <w:rPr>
          <w:lang w:val="en-US"/>
        </w:rPr>
        <w:lastRenderedPageBreak/>
        <w:t>provimento. (STJ - AgRg no Resp: 1077611 RS 2008/0161907-9, Relator: Ministra MARIA ISABEL GALLOTTI, Data de Julgamento: 07.08.2014,  T4 - QUARTA TURMA, Data de Publicação: Dje 19.08.2014).</w:t>
      </w: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  <w:r>
        <w:rPr>
          <w:lang w:val="en-US"/>
        </w:rPr>
        <w:t xml:space="preserve">Igualmente, fundamenta em tribunais superiores a questão da nulidade da cláusula contratual que estabeleceu a variação cambial como índice de correção, verbis: </w:t>
      </w: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  <w:r>
        <w:rPr>
          <w:lang w:val="en-US"/>
        </w:rPr>
        <w:t>[...] CORREÇÃO MONETÁRIA. ÍNDICE DE VARIAÇÃO CAMBIAL DO DÓLAR NORTE-AMERICANO. IMPOSSIBILIDADE. AUSÊNCIA DE AUTORIZAÇÃO LEGAL. CONTRATO QUE NÃO SE CARACTERIZA DE ARRENDAMENTO MERCANTIL. INTELIGÊNCIA DO ART. 6º DA LEI Nº 8.880/1994. FALTA, INCLUSIVE, DE PROVA DA CAPTAÇÃO DE RECURSOS NO EXTERIOR PELA FATURIZADORA. SUBSTITUIÇÃO PELO INPC ESCORREITA. DECISUM MANTIDO NO TÓPICO. Segundo o Superior Tribunal de Justiça: "O reajuste das prestações do arrendamento mercantil segundo a variação cambial constitui exceção expressamente prevista em lei (Lei 8.880/1994, art. 6º); não se estende ao contrato de compra e venda com reserva de domínio. Agravo regimental não provido." (AgRg no Ag n. 845988/SP, rel. Min. Ari Pargendler, j. em 02.09.2008). [...] (STJ - AREsp: 617194 SC 2014/0300157-1, Relator: Ministro MARCO AURÉLIO BELLIZZE, Data de Publicação: DJ 05.12.2014).</w:t>
      </w: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  <w:r>
        <w:rPr>
          <w:lang w:val="en-US"/>
        </w:rPr>
        <w:t>Ambas as questões não foram abordadas no decisum embargado.</w:t>
      </w: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  <w:r>
        <w:rPr>
          <w:lang w:val="en-US"/>
        </w:rPr>
        <w:t>Por esses motivos, a revisão do contrato deve se dar desde o início da relação, e não somente no período posterior a ___/___/___.</w:t>
      </w: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  <w:r>
        <w:rPr>
          <w:lang w:val="en-US"/>
        </w:rPr>
        <w:t>ANTE O EXPOSTO, requer que sejam acolhidos os presentes embargos de declaração, no sentido de se expurgar a contradição da sentença, para que seja utilizado o IGP-M como índice de correção, bem como seja excluída a capitalização mensal de juros, revisão essa relativa a todo o período da relação contratual, conforme pedido contido na inicial (item "d", subdividido em "d.1" e "d.2").</w:t>
      </w: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5B0EFB" w:rsidRDefault="005B0EFB">
      <w:pPr>
        <w:widowControl/>
        <w:rPr>
          <w:lang w:val="en-US"/>
        </w:rPr>
      </w:pPr>
    </w:p>
    <w:p w:rsidR="005B0EFB" w:rsidRDefault="005B0EF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5B0EFB" w:rsidRDefault="005B0EFB">
      <w:pPr>
        <w:widowControl/>
        <w:rPr>
          <w:lang w:val="en-US"/>
        </w:rPr>
      </w:pPr>
    </w:p>
    <w:sectPr w:rsidR="005B0EF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C189B" w:rsidRDefault="008C189B" w:rsidP="008C189B">
      <w:r>
        <w:separator/>
      </w:r>
    </w:p>
  </w:endnote>
  <w:endnote w:type="continuationSeparator" w:id="0">
    <w:p w:rsidR="008C189B" w:rsidRDefault="008C189B" w:rsidP="008C1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89B" w:rsidRDefault="008C189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89B" w:rsidRPr="008C189B" w:rsidRDefault="008C189B" w:rsidP="008C189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89B" w:rsidRDefault="008C189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C189B" w:rsidRDefault="008C189B" w:rsidP="008C189B">
      <w:r>
        <w:separator/>
      </w:r>
    </w:p>
  </w:footnote>
  <w:footnote w:type="continuationSeparator" w:id="0">
    <w:p w:rsidR="008C189B" w:rsidRDefault="008C189B" w:rsidP="008C18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89B" w:rsidRDefault="008C189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89B" w:rsidRPr="008C189B" w:rsidRDefault="008C189B" w:rsidP="008C189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89B" w:rsidRDefault="008C189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B0EFB"/>
    <w:rsid w:val="005B0EFB"/>
    <w:rsid w:val="008C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C189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C189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C189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C189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2023-11-05T21:10:00Z</dcterms:modified>
</cp:coreProperties>
</file>