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E6E76" w:rsidRDefault="005E6E76">
      <w:pPr>
        <w:widowControl/>
        <w:rPr>
          <w:lang w:val="en-US"/>
        </w:rPr>
      </w:pP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>IMPUGNAÇÃO AO PEDIDO DO EXECUTADO DE REUNIÃO DA AÇÃO DE EXECUÇÃO COM AÇÃO DE CONHECIMENTO (ANULATÓRIA) - NOVO CPC</w:t>
      </w:r>
    </w:p>
    <w:p w:rsidR="005E6E76" w:rsidRDefault="005E6E76">
      <w:pPr>
        <w:widowControl/>
        <w:rPr>
          <w:lang w:val="en-US"/>
        </w:rPr>
      </w:pPr>
    </w:p>
    <w:p w:rsidR="005E6E76" w:rsidRDefault="005E6E76">
      <w:pPr>
        <w:widowControl/>
        <w:rPr>
          <w:lang w:val="en-US"/>
        </w:rPr>
      </w:pP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5E6E76" w:rsidRDefault="005E6E76">
      <w:pPr>
        <w:widowControl/>
        <w:rPr>
          <w:lang w:val="en-US"/>
        </w:rPr>
      </w:pPr>
    </w:p>
    <w:p w:rsidR="005E6E76" w:rsidRDefault="005E6E76">
      <w:pPr>
        <w:widowControl/>
        <w:rPr>
          <w:lang w:val="en-US"/>
        </w:rPr>
      </w:pP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 xml:space="preserve">  </w:t>
      </w: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 xml:space="preserve">  </w:t>
      </w: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 xml:space="preserve">  Execução para entrega de coisa certa – Autos nº (...)</w:t>
      </w: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 xml:space="preserve">  (...), já qualificado nos autos da execução para entrega de coisa certa que move em face de (...), vem, respeitosamente, perante Vossa Excelência, expor e requerer o quanto segue:</w:t>
      </w: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 xml:space="preserve">  O executado aduz, em síntese, que “aforou ação declaratória de nulidade de ato jurídico”, em face do exequente, em (...), que a citação para a presente ação de execução se deu em (...) e, por tal razão, em virtude de “conexão” (sic), Vossa Excelência deveria “avocar” a ação ordinária perante a (...) Vara Cível para julgamento simultâneo.</w:t>
      </w: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 xml:space="preserve">  Requer, ainda, o executado, a lavratura do termo de depósito para apresentação de embargos.</w:t>
      </w: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 xml:space="preserve">  Não há o mínimo fundamento jurídico e legal para qualquer das absurdas pretensões perpetradas:</w:t>
      </w: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 xml:space="preserve">  I – Pretensa reunião de ações para julgamento conjunto</w:t>
      </w: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 xml:space="preserve">  Em verdade, acorde com os mandamentos insculpidos nos arts. 240 e 312 do Código de Processo Civil, a partir da distribuição desta ação executiva em (...), todos os efeitos do art. 240 passaram a ser verificados, vez que houve citação válida em (...).</w:t>
      </w: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 xml:space="preserve">  Demais disso, não há falar-se em conexão de ação executiva com ação de conhecimento por uma simples razão jurídica: não há julgamento de mérito na ação de execução!1 </w:t>
      </w: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 xml:space="preserve">  Preleciona o grande Liebman, diferenciando o pedido do processo de conhecimento daquele do processo de execução, que se baseia no título executório:</w:t>
      </w: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 xml:space="preserve">  Que determina inquestionavelmente – para os efeitos da execução – a regra sancionadora que deve ser efetivada: não cabe mais ao juiz julgar, mas, simplesmente, realizar as atividades decorrentes do conteúdo do título. O pedido do exequente visa provocar estas atividades. A tarefa do juiz consiste apenas em realizá-las. </w:t>
      </w: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 xml:space="preserve">  A jurisprudência é clara nesse sentido:</w:t>
      </w: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>Segundo Tribunal de Alçada Civil de São Paulo. “Conexão – despejo cumulado com cobrança de alugueres em face do locatário e execução contra o fiador – inexistência. Inexiste conexão entre as ações de execução e de despejo, esta cumulada com pedido de cobrança dos aluguéis inadimplidos. E isto porque, não bastasse a diversidade das partes (apenas o credor figura como sujeito ativo em ambos os processos, figurando como passivos, respectivamente, fiador no processo de execução e a ex-locatária no de conhecimento), também são totalmente distintos os elementos objetivos e causais das ações em testilha. Mas mesmo que conexão houvesse, de modo algum acarretaria a reunião dos processos para os fins colimados pelo art. 105 do Código de Processo Civil [atual art. 57] (julgamento ‘simultaneus processus’), pela simples razão de que inexiste, no processo de execução, tal julgamento de mérito” (Apel. c/ Ver. Nº 501.203 – 7ª Câm. – rel. Juiz Antonio Marcato – j. em 17.02.1998).</w:t>
      </w: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 xml:space="preserve">Primeiro Tribunal de Alçada Civil de São Paulo. “Conexão – pretensão à reunião de ações de execução e de conhecimento – impossibilidade – recurso desprovido. Anotações da Comissão: no mesmo sentido: AC 398.389-1, relator: Pinheiro Franco” (Agravo de </w:t>
      </w:r>
      <w:r>
        <w:rPr>
          <w:lang w:val="en-US"/>
        </w:rPr>
        <w:lastRenderedPageBreak/>
        <w:t>Instrumento nº 397.088-0/00 – 8ª Câmara – 12.10.1988 – relator: Raphael Salvador, unânime).</w:t>
      </w: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 xml:space="preserve">  II – Decurso, in albis, do prazo para entrega</w:t>
      </w: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 xml:space="preserve">  Outrossim, verifica-se que não houve a necessária entrega, que pressupõe a desocupação, o desapossamento do bem nos termos do art. 806 do Código de Processo Civil.</w:t>
      </w: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 xml:space="preserve">  III – Requerimento</w:t>
      </w: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 xml:space="preserve">  Isto posto, requer-se o prosseguimento da presente execução, já que não há falar-se em reunião dos processos para julgamento conjunto por absoluta incompatibilidade procedimental.</w:t>
      </w: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 xml:space="preserve">  Sendo assim, decorrido in albis o prazo para depósito ou entrega do bem, requer o exequente a expedição do competente mandado de imissão na posse do imóvel objeto da presente execução nos termos do art. 806, § 2º, do Código de Processo Civil. </w:t>
      </w: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 xml:space="preserve">  Reitera, ainda, o pedido constante do item “c” da exordial, consistente na expedição de mandado para registro do ato de citação do executado junto à respectiva matrícula do imóvel, em consonância com o art. 167, I, nº 21 da Lei de Registros Públicos (Lei 6.015/1973), para advertir terceiros de que o bem está sub judice.</w:t>
      </w: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 xml:space="preserve">  Observa-se que às fls. (...), Vossa Excelência declinou que apreciaria este pedido após a citação, que já ocorreu.</w:t>
      </w: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 xml:space="preserve">  Outrossim, reitera também o pedido do item “d” da inicial, para que Vossa Excelência fixe os honorários para a presente execução nos termos do art. 85 § 1º do Código de Processo Civil.</w:t>
      </w: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 xml:space="preserve">  </w:t>
      </w:r>
    </w:p>
    <w:p w:rsidR="005E6E76" w:rsidRDefault="005E6E76">
      <w:pPr>
        <w:widowControl/>
        <w:rPr>
          <w:lang w:val="en-US"/>
        </w:rPr>
      </w:pPr>
    </w:p>
    <w:p w:rsidR="005E6E76" w:rsidRDefault="005E6E76">
      <w:pPr>
        <w:widowControl/>
        <w:rPr>
          <w:lang w:val="en-US"/>
        </w:rPr>
      </w:pP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5E6E76" w:rsidRDefault="005E6E76">
      <w:pPr>
        <w:widowControl/>
        <w:rPr>
          <w:lang w:val="en-US"/>
        </w:rPr>
      </w:pP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5E6E76" w:rsidRDefault="005E6E76">
      <w:pPr>
        <w:widowControl/>
        <w:rPr>
          <w:lang w:val="en-US"/>
        </w:rPr>
      </w:pP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5E6E76" w:rsidRDefault="005E6E76">
      <w:pPr>
        <w:widowControl/>
        <w:rPr>
          <w:lang w:val="en-US"/>
        </w:rPr>
      </w:pP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5E6E76" w:rsidRDefault="005E6E76">
      <w:pPr>
        <w:widowControl/>
        <w:rPr>
          <w:lang w:val="en-US"/>
        </w:rPr>
      </w:pPr>
    </w:p>
    <w:p w:rsidR="005E6E76" w:rsidRDefault="005E6E7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5E6E76" w:rsidRDefault="005E6E76">
      <w:pPr>
        <w:widowControl/>
        <w:rPr>
          <w:lang w:val="en-US"/>
        </w:rPr>
      </w:pPr>
    </w:p>
    <w:sectPr w:rsidR="005E6E7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569C4" w:rsidRDefault="003569C4" w:rsidP="003569C4">
      <w:r>
        <w:separator/>
      </w:r>
    </w:p>
  </w:endnote>
  <w:endnote w:type="continuationSeparator" w:id="0">
    <w:p w:rsidR="003569C4" w:rsidRDefault="003569C4" w:rsidP="00356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69C4" w:rsidRDefault="003569C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69C4" w:rsidRPr="003569C4" w:rsidRDefault="003569C4" w:rsidP="003569C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69C4" w:rsidRDefault="003569C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569C4" w:rsidRDefault="003569C4" w:rsidP="003569C4">
      <w:r>
        <w:separator/>
      </w:r>
    </w:p>
  </w:footnote>
  <w:footnote w:type="continuationSeparator" w:id="0">
    <w:p w:rsidR="003569C4" w:rsidRDefault="003569C4" w:rsidP="003569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69C4" w:rsidRDefault="003569C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69C4" w:rsidRPr="003569C4" w:rsidRDefault="003569C4" w:rsidP="003569C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69C4" w:rsidRDefault="003569C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E6E76"/>
    <w:rsid w:val="003569C4"/>
    <w:rsid w:val="005E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3569C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569C4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569C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569C4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738</Words>
  <Characters>3989</Characters>
  <Application>Microsoft Office Word</Application>
  <DocSecurity>0</DocSecurity>
  <Lines>33</Lines>
  <Paragraphs>9</Paragraphs>
  <ScaleCrop>false</ScaleCrop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2023-11-05T21:14:00Z</dcterms:modified>
</cp:coreProperties>
</file>