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2ED" w:rsidRDefault="002562ED" w:rsidP="002562E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ALIENAÇÃO ANTECIPADA DE BENS PENHORADOS SUJEITOS À DETERIORAÇÃO (Art. 670, I, do CPC c/c 769 da CLT)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2562ED" w:rsidRDefault="002562ED" w:rsidP="002562ED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CIDADE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sendo os bens penhorados de fácil deterioração, com fulcro nos Arts. 670, I, do Código de Processo Civil c/c 769 da Consolidação das Leis do Trabalho, requerer a alienação antecipada dos referidos bens.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2562ED" w:rsidRDefault="002562ED"/>
    <w:sectPr w:rsidR="002562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58B7" w:rsidRDefault="007A58B7" w:rsidP="007A58B7">
      <w:r>
        <w:separator/>
      </w:r>
    </w:p>
  </w:endnote>
  <w:endnote w:type="continuationSeparator" w:id="0">
    <w:p w:rsidR="007A58B7" w:rsidRDefault="007A58B7" w:rsidP="007A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8B7" w:rsidRDefault="007A58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8B7" w:rsidRPr="007A58B7" w:rsidRDefault="007A58B7" w:rsidP="007A58B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8B7" w:rsidRDefault="007A58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58B7" w:rsidRDefault="007A58B7" w:rsidP="007A58B7">
      <w:r>
        <w:separator/>
      </w:r>
    </w:p>
  </w:footnote>
  <w:footnote w:type="continuationSeparator" w:id="0">
    <w:p w:rsidR="007A58B7" w:rsidRDefault="007A58B7" w:rsidP="007A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8B7" w:rsidRDefault="007A58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8B7" w:rsidRPr="007A58B7" w:rsidRDefault="007A58B7" w:rsidP="007A58B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8B7" w:rsidRDefault="007A58B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2ED"/>
    <w:rsid w:val="002562ED"/>
    <w:rsid w:val="007A58B7"/>
    <w:rsid w:val="00C4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75731B-7A40-4AC9-9763-3F2CB19A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562E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A58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A58B7"/>
    <w:rPr>
      <w:sz w:val="24"/>
      <w:szCs w:val="24"/>
    </w:rPr>
  </w:style>
  <w:style w:type="paragraph" w:styleId="Rodap">
    <w:name w:val="footer"/>
    <w:basedOn w:val="Normal"/>
    <w:link w:val="RodapChar"/>
    <w:rsid w:val="007A58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A58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0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ALIENAÇÃO ANTECIPADA DE BENS PENHORADOS SUJEITOS À DETERIORAÇÃO (Art</vt:lpstr>
    </vt:vector>
  </TitlesOfParts>
  <Company>MicroHardware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ALIENAÇÃO ANTECIPADA DE BENS PENHORADOS SUJEITOS À DETERIORAÇÃO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