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63A7" w:rsidRDefault="006163A7" w:rsidP="006163A7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SEGREDO DE JUSTIÇA (Art. 155, II,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6163A7" w:rsidRDefault="006163A7" w:rsidP="006163A7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Vossa Excelência, com fulcro no Art. 155, II, do Código de Processo Civil, requerer o trâmite do processo em segredo de justiça, por se tratar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 de pessoa pública, com forte exposição na mídia, trazendo, portanto, riscos de constrangimentos desnecessários, que em nada contribuiriam para o deslinde do feito.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6163A7" w:rsidRDefault="006163A7"/>
    <w:sectPr w:rsidR="006163A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0034" w:rsidRDefault="002D0034" w:rsidP="002D0034">
      <w:r>
        <w:separator/>
      </w:r>
    </w:p>
  </w:endnote>
  <w:endnote w:type="continuationSeparator" w:id="0">
    <w:p w:rsidR="002D0034" w:rsidRDefault="002D0034" w:rsidP="002D0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0034" w:rsidRDefault="002D003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0034" w:rsidRPr="002D0034" w:rsidRDefault="002D0034" w:rsidP="002D003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0034" w:rsidRDefault="002D00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0034" w:rsidRDefault="002D0034" w:rsidP="002D0034">
      <w:r>
        <w:separator/>
      </w:r>
    </w:p>
  </w:footnote>
  <w:footnote w:type="continuationSeparator" w:id="0">
    <w:p w:rsidR="002D0034" w:rsidRDefault="002D0034" w:rsidP="002D0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0034" w:rsidRDefault="002D00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0034" w:rsidRPr="002D0034" w:rsidRDefault="002D0034" w:rsidP="002D003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0034" w:rsidRDefault="002D003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63A7"/>
    <w:rsid w:val="002D0034"/>
    <w:rsid w:val="006163A7"/>
    <w:rsid w:val="00A1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354E3E-5A24-4D66-A3CF-5BFE8DA7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6163A7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2D003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D0034"/>
    <w:rPr>
      <w:sz w:val="24"/>
      <w:szCs w:val="24"/>
    </w:rPr>
  </w:style>
  <w:style w:type="paragraph" w:styleId="Rodap">
    <w:name w:val="footer"/>
    <w:basedOn w:val="Normal"/>
    <w:link w:val="RodapChar"/>
    <w:rsid w:val="002D003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D003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SEGREDO DE JUSTIÇA (Art</vt:lpstr>
    </vt:vector>
  </TitlesOfParts>
  <Company>MicroHardware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SEGREDO DE JUSTIÇA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