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>PETIÇÃO PARA EXECUÇÃO PROVISÓRIA DO DESPEJO - NOVO CPC</w:t>
      </w: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 xml:space="preserve">  Processo nº (...)</w:t>
      </w: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 xml:space="preserve">  (...), nos autos da ação de despejo que move em face de (...), tendo sido julgado procedente o pedido, e decretado o despejo, vem, respeitosamente, perante Vossa Excelência, por seu advogado, expor e requerer o quanto segue:</w:t>
      </w: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 xml:space="preserve">  Tendo em vista o recurso de apelação, recebido apenas no efeito devolutivo, requer a juntada dos documentos enumerados no art. 522 do CPC.</w:t>
      </w: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 xml:space="preserve">  Requer, ainda, com fundamento no que dispõe o artigo 64 da Lei 8.245/1991, digne-se Vossa Excelência de autorizá-la a prestar a caução fixada na R. Sentença de fls., em dinheiro, no valor de R$ (...), que corresponde a (...) meses de aluguel vigente nesta data ou a ser representada pelo próprio imóvel que é objeto da ação. Para tanto, junta cópia autenticada e atualizada da matrícula, prova de que o imóvel está livre e desembaraçado de qualquer ônus judicial ou extrajudicial, sendo de valor muito superior ao da caução fixada ou mediante fiança a ser prestada pelo Sr. C (qualificar) e sua mulher, D (se casado for, qualquer que seja o regime de bem), os quais estão de acordo em assumir a responsabilidade, conforme declaração anexa, e provam sua idoneidade econômica e financeira através da cópia da matrícula atualizada do imóvel de que são proprietários, estando, portanto, aptos a assumir o encargo de pagamento da caução, em dinheiro, na hipótese de provimento do recurso do réu. Requer a autora, assim, seja lavrado o respectivo termo de caução para que produza os efeitos legais.</w:t>
      </w: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 xml:space="preserve">  Por fim, com a prestação da caução arbitrada na R. sentença, requer a autora a expedição do mandado de intimação do réu para que desocupe o imóvel no prazo de (...) dias, cominado na sentença, sob pena de execução do despejo de acordo com mandado de despejo que deve acompanhar a intimação nos termos do que fora determinado na sentença, a teor do art. 63 da Lei 8.245/1991, com as cláusulas de arrombamento, requisição de força e remoção dos bens.</w:t>
      </w: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 xml:space="preserve">  Requer-se, ainda, ciência aos eventuais ocupantes e sublocatários do imóvel.</w:t>
      </w: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B07BF" w:rsidRDefault="003B07BF">
      <w:pPr>
        <w:widowControl/>
        <w:rPr>
          <w:lang w:val="en-US"/>
        </w:rPr>
      </w:pPr>
    </w:p>
    <w:p w:rsidR="003B07BF" w:rsidRDefault="003B07B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B07BF" w:rsidRDefault="003B07BF">
      <w:pPr>
        <w:widowControl/>
        <w:rPr>
          <w:lang w:val="en-US"/>
        </w:rPr>
      </w:pPr>
    </w:p>
    <w:sectPr w:rsidR="003B07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74B5" w:rsidRDefault="00FF74B5" w:rsidP="00FF74B5">
      <w:r>
        <w:separator/>
      </w:r>
    </w:p>
  </w:endnote>
  <w:endnote w:type="continuationSeparator" w:id="0">
    <w:p w:rsidR="00FF74B5" w:rsidRDefault="00FF74B5" w:rsidP="00FF7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74B5" w:rsidRDefault="00FF74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74B5" w:rsidRPr="00FF74B5" w:rsidRDefault="00FF74B5" w:rsidP="00FF74B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74B5" w:rsidRDefault="00FF74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74B5" w:rsidRDefault="00FF74B5" w:rsidP="00FF74B5">
      <w:r>
        <w:separator/>
      </w:r>
    </w:p>
  </w:footnote>
  <w:footnote w:type="continuationSeparator" w:id="0">
    <w:p w:rsidR="00FF74B5" w:rsidRDefault="00FF74B5" w:rsidP="00FF7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74B5" w:rsidRDefault="00FF74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74B5" w:rsidRPr="00FF74B5" w:rsidRDefault="00FF74B5" w:rsidP="00FF74B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74B5" w:rsidRDefault="00FF74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B07BF"/>
    <w:rsid w:val="003B07BF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F74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74B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F74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74B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