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A609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EXCELENTÍSSIMO SENHOR DOUTOR JUIZ PRESIDENTE DO TRIBUNAL REGIONAL DO TRABALHO DA ..... REGIÃO</w:t>
      </w:r>
    </w:p>
    <w:p w14:paraId="10F91DE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3FFC3F7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4B1AB1C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5A24314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3983844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575771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665D5F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BCF2CB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25F25DB7" w14:textId="77777777" w:rsidR="00545C8A" w:rsidRPr="00104EA9" w:rsidRDefault="00545C8A" w:rsidP="00545C8A">
      <w:pPr>
        <w:ind w:firstLine="708"/>
        <w:jc w:val="both"/>
        <w:rPr>
          <w:rFonts w:ascii="Cambria" w:hAnsi="Cambria" w:cs="Times New Roman"/>
          <w:sz w:val="24"/>
        </w:rPr>
      </w:pPr>
    </w:p>
    <w:p w14:paraId="5E020008" w14:textId="77777777" w:rsidR="00545C8A" w:rsidRPr="00104EA9" w:rsidRDefault="00545C8A" w:rsidP="00545C8A">
      <w:pPr>
        <w:ind w:firstLine="708"/>
        <w:jc w:val="both"/>
        <w:rPr>
          <w:rFonts w:ascii="Cambria" w:hAnsi="Cambria" w:cs="Times New Roman"/>
          <w:sz w:val="24"/>
        </w:rPr>
      </w:pPr>
    </w:p>
    <w:p w14:paraId="0DC828D9" w14:textId="77777777" w:rsidR="0037391B" w:rsidRPr="00104EA9" w:rsidRDefault="00545C8A" w:rsidP="00545C8A">
      <w:pPr>
        <w:ind w:firstLine="708"/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....</w:t>
      </w:r>
      <w:r w:rsidR="0037391B" w:rsidRPr="00104EA9">
        <w:rPr>
          <w:rFonts w:ascii="Cambria" w:hAnsi="Cambria" w:cs="Times New Roman"/>
          <w:sz w:val="24"/>
        </w:rPr>
        <w:t>brasileiro (a), (estado civil), profissional da área de ....., portador (a) do CIRG n.º ..... e</w:t>
      </w:r>
      <w:r w:rsidRPr="00104EA9">
        <w:rPr>
          <w:rFonts w:ascii="Cambria" w:hAnsi="Cambria" w:cs="Times New Roman"/>
          <w:sz w:val="24"/>
        </w:rPr>
        <w:t xml:space="preserve"> do CPF n.º .....,com endereço eletrônico...,</w:t>
      </w:r>
      <w:r w:rsidR="0037391B" w:rsidRPr="00104EA9">
        <w:rPr>
          <w:rFonts w:ascii="Cambria" w:hAnsi="Cambria" w:cs="Times New Roman"/>
          <w:sz w:val="24"/>
        </w:rPr>
        <w:t xml:space="preserve"> residente e domiciliado (a) na Rua ....., n.º ....., Bairro ....., Cidade ....., Estado ..... e ....., brasileiro (a), (estado civil), profissional da área de ....., portador (a) do CIRG n.º ..... e do CPF n.º .....,  residente e domiciliado (a) na Rua ....., n.º ....., Bairro ....., Cidade ....., Estado ....., por intermédio de seu (sua) advogado(a) e bastante procurador(a) (procuração em anexo - doc. 01), com escritório profissional sito à Rua ....., nº ....., Bairro ....., Cidade ....., Estado ....., onde recebe notificações e intimações, vem mui respeitosamente, nos autos de RT nº ....., em que é reclamante ....., brasileiro (a), (estado civil), profissional da área de ....., portador (a) do CIRG n.º ..... e do CPF n.º .....,  residente e domiciliado (a) na Rua ....., n.º ....., Bairro ....., Cidade ....., Estado .....  à presença de Vossa Excelência impetrar</w:t>
      </w:r>
    </w:p>
    <w:p w14:paraId="52D3BC8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1FF5AED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MANDADO DE SEGURANÇA</w:t>
      </w:r>
    </w:p>
    <w:p w14:paraId="2F412F5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72C30B0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em face de</w:t>
      </w:r>
    </w:p>
    <w:p w14:paraId="3F8A07B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2D57F0E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ato do juiz "ad quo" da ..... Vara do Trabalho de .... que determinou a constrição dos bens do impetrante, pelos motivos de fato e de direito a seguir aduzidos.</w:t>
      </w:r>
    </w:p>
    <w:p w14:paraId="21C1581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115DF8A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DOS FATOS</w:t>
      </w:r>
    </w:p>
    <w:p w14:paraId="5D17CC6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750A0AD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Foram colocadas perante a Vara do trabalho de ..... reclamações trabalhistas contra a empresa ...., conforme descrição abaixo:</w:t>
      </w:r>
    </w:p>
    <w:p w14:paraId="1D4F08D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7C12EA0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- .... - RT nº .... - .... VT de ....;</w:t>
      </w:r>
    </w:p>
    <w:p w14:paraId="7CAA260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- .... - RT nº .... - .... VT de ....;</w:t>
      </w:r>
    </w:p>
    <w:p w14:paraId="2680C53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- .... - RT nº .... - .... VT de ....;</w:t>
      </w:r>
    </w:p>
    <w:p w14:paraId="351A822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- .... - RT nº .... - .... VT de ....;</w:t>
      </w:r>
    </w:p>
    <w:p w14:paraId="550014B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7F26B42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Os reclamantes lograram êxito em suas pretensões, sendo os feitos executados.</w:t>
      </w:r>
    </w:p>
    <w:p w14:paraId="0ADAEF1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0C1285B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Para todos os processos observou-se o mesmo procedimento de busca dos bens para execução.</w:t>
      </w:r>
    </w:p>
    <w:p w14:paraId="3DA19BB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7BDED50D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Inicialmente, houve a procura da reclamada para citação, quando verificou-se que a empresa não mais funcionava no endereço indicado.</w:t>
      </w:r>
    </w:p>
    <w:p w14:paraId="2EA0485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5602F0D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Frustrada a tentativa de localização da executada, os reclamantes requereram a citação na pessoa dos sócios.</w:t>
      </w:r>
    </w:p>
    <w:p w14:paraId="49DD4DE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A0277CD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Após realização de pesquisa sobre o patrimônio de cada um dos sócios, os reclamantes requereram a citação na pessoa dos ora impetrantes e o prosseguimento da execução contra estes.</w:t>
      </w:r>
    </w:p>
    <w:p w14:paraId="5BBAC7F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79730E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Contudo, a pretensão dos reclamantes não pode prosperar, visto que os mesmos não participaram da relação processual .</w:t>
      </w:r>
    </w:p>
    <w:p w14:paraId="6E3C727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FFF7FC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Indubitável que o ato que determina a constrição de bens ou direitos dos impetrantes constitui violação de direito líquido e certo, verdadeiro atentado contra os direitos constitucionais de propriedade e ampla defesa.</w:t>
      </w:r>
    </w:p>
    <w:p w14:paraId="27D561E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019199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Configurado o risco de violação de direito líquido e certo pela autoridade coatora, é o presente "mandamus" medida eficaz para prevenir eventual ataque ao patrimônio pessoal dos impetrantes.</w:t>
      </w:r>
    </w:p>
    <w:p w14:paraId="1DF733F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2F920FA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DO DIREITO</w:t>
      </w:r>
    </w:p>
    <w:p w14:paraId="116E7F7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571CA1E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lastRenderedPageBreak/>
        <w:t>1. DA ILEGALIDADE DO ATO DE CONSTRIÇÃO DOS BENS DOS IMPETRANTES</w:t>
      </w:r>
    </w:p>
    <w:p w14:paraId="007B815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D1ECF50" w14:textId="77777777" w:rsidR="0037391B" w:rsidRPr="00104EA9" w:rsidRDefault="00545C8A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penhora</w:t>
      </w:r>
      <w:r w:rsidR="0037391B" w:rsidRPr="00104EA9">
        <w:rPr>
          <w:rFonts w:ascii="Cambria" w:hAnsi="Cambria" w:cs="Times New Roman"/>
          <w:sz w:val="24"/>
        </w:rPr>
        <w:t xml:space="preserve"> dos bens dos impetrantes constituirá violação de direito líquido e certo. Porque não foram partes em quaisquer das </w:t>
      </w:r>
      <w:r w:rsidRPr="00104EA9">
        <w:rPr>
          <w:rFonts w:ascii="Cambria" w:hAnsi="Cambria" w:cs="Times New Roman"/>
          <w:sz w:val="24"/>
        </w:rPr>
        <w:t>lides, e</w:t>
      </w:r>
      <w:r w:rsidR="0037391B" w:rsidRPr="00104EA9">
        <w:rPr>
          <w:rFonts w:ascii="Cambria" w:hAnsi="Cambria" w:cs="Times New Roman"/>
          <w:sz w:val="24"/>
        </w:rPr>
        <w:t xml:space="preserve"> não chamados a exercer seu direito de ampla defesa.</w:t>
      </w:r>
    </w:p>
    <w:p w14:paraId="4203F39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CA426A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De outra parte, a perseguição aos bens dos ex-sócios somente poderia ser feita se a retirada da sociedade, por parte dos mesmos, ocorresse de maneira fraudulenta, o que não aconteceu.</w:t>
      </w:r>
    </w:p>
    <w:p w14:paraId="306AD6F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0DC496F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Segundo se depreende da análise das alterações contratuais anexas, os impetrantes integralizaram suas quotas de participação, o que demonstra a transparência e lisura com que se deu a saída.</w:t>
      </w:r>
    </w:p>
    <w:p w14:paraId="49E0838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521DCC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perigo de serem atingidos os bens dos impetrantes com execução de dívida alheia, justifica o ajuizamento da presente medida, visando proteger direito líquido e certo.</w:t>
      </w:r>
    </w:p>
    <w:p w14:paraId="3F1FB43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3E52118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Senão vejamos:</w:t>
      </w:r>
    </w:p>
    <w:p w14:paraId="6D77369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1175404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NÃO PARTICIPAÇÃO DA RELAÇÃO PROCESSUAL</w:t>
      </w:r>
    </w:p>
    <w:p w14:paraId="5A30ABE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83FA64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Não cabe aos impetrantes responderem com seu patrimônio por dívida alheia uma vez que não integraram a lide e, via de consequência, os efeitos produzidos pela</w:t>
      </w:r>
      <w:r w:rsidR="00545C8A" w:rsidRPr="00104EA9">
        <w:rPr>
          <w:rFonts w:ascii="Cambria" w:hAnsi="Cambria" w:cs="Times New Roman"/>
          <w:sz w:val="24"/>
        </w:rPr>
        <w:t xml:space="preserve"> sentença não podem alcança-los</w:t>
      </w:r>
      <w:r w:rsidRPr="00104EA9">
        <w:rPr>
          <w:rFonts w:ascii="Cambria" w:hAnsi="Cambria" w:cs="Times New Roman"/>
          <w:sz w:val="24"/>
        </w:rPr>
        <w:t xml:space="preserve">. </w:t>
      </w:r>
    </w:p>
    <w:p w14:paraId="5CDA676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1BCC49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Nesse sentido, "mutatis mutandis", o enunciado da Súmula 331, do C. TST, item IV</w:t>
      </w:r>
      <w:r w:rsidR="00545C8A" w:rsidRPr="00104EA9">
        <w:rPr>
          <w:rFonts w:ascii="Cambria" w:hAnsi="Cambria" w:cs="Times New Roman"/>
          <w:sz w:val="24"/>
        </w:rPr>
        <w:t xml:space="preserve">, parte final, prescreve que a </w:t>
      </w:r>
      <w:r w:rsidRPr="00104EA9">
        <w:rPr>
          <w:rFonts w:ascii="Cambria" w:hAnsi="Cambria" w:cs="Times New Roman"/>
          <w:sz w:val="24"/>
        </w:rPr>
        <w:t>cobrança de créditos trabalhistas não alcança quem não tenha participado da relação processual nem conste do título executivo judicial.</w:t>
      </w:r>
    </w:p>
    <w:p w14:paraId="01CD975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734967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Analisando os autos da ação trabalhista nota-se que em nenhum momento da fase cognitiva os impetrantes são mencionados. Apenas na execução, APÓS TER SIDO CONSTITUIDO o título executivo judicial contra a ...., é que os Reclamantes pretendem que bens dos impetrantes respondam por dívidas objeto da constrição.</w:t>
      </w:r>
    </w:p>
    <w:p w14:paraId="477D183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517D82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alegação de que, não havendo bens da empresa deve o patrimônio dos sócios responder pela execução, não subsiste razão para se responsabilizar a empresa motivo que responsabilizaria o patrimônio da empresa dos impetrantes pelo pagamento das verbas devidas.</w:t>
      </w:r>
    </w:p>
    <w:p w14:paraId="1ECCB4B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E3D110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Verifica-se  que o direito constitucional de ampla defesa deixou de ser observado quando da determinação da penhora dos bens dos impetrantes, porquanto não foram chamada ao processo em momento algum.</w:t>
      </w:r>
    </w:p>
    <w:p w14:paraId="77C2A60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16984F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1.1.  INOBSERVÂNCIA DA OR</w:t>
      </w:r>
      <w:r w:rsidR="00545C8A" w:rsidRPr="00104EA9">
        <w:rPr>
          <w:rFonts w:ascii="Cambria" w:hAnsi="Cambria" w:cs="Times New Roman"/>
          <w:sz w:val="24"/>
        </w:rPr>
        <w:t xml:space="preserve">DEM LEGAL DA PENHORA - ART. 835 </w:t>
      </w:r>
      <w:r w:rsidRPr="00104EA9">
        <w:rPr>
          <w:rFonts w:ascii="Cambria" w:hAnsi="Cambria" w:cs="Times New Roman"/>
          <w:sz w:val="24"/>
        </w:rPr>
        <w:t xml:space="preserve">DO </w:t>
      </w:r>
      <w:r w:rsidR="00545C8A" w:rsidRPr="00104EA9">
        <w:rPr>
          <w:rFonts w:ascii="Cambria" w:hAnsi="Cambria" w:cs="Times New Roman"/>
          <w:sz w:val="24"/>
        </w:rPr>
        <w:t>N</w:t>
      </w:r>
      <w:r w:rsidRPr="00104EA9">
        <w:rPr>
          <w:rFonts w:ascii="Cambria" w:hAnsi="Cambria" w:cs="Times New Roman"/>
          <w:sz w:val="24"/>
        </w:rPr>
        <w:t>CPC</w:t>
      </w:r>
    </w:p>
    <w:p w14:paraId="481EA06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59FCF48C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Preceitua o artigo 835</w:t>
      </w:r>
      <w:r w:rsidR="0037391B" w:rsidRPr="00104EA9">
        <w:rPr>
          <w:rFonts w:ascii="Cambria" w:hAnsi="Cambria" w:cs="Times New Roman"/>
          <w:sz w:val="24"/>
        </w:rPr>
        <w:t xml:space="preserve"> do </w:t>
      </w:r>
      <w:r w:rsidRPr="00104EA9">
        <w:rPr>
          <w:rFonts w:ascii="Cambria" w:hAnsi="Cambria" w:cs="Times New Roman"/>
          <w:sz w:val="24"/>
        </w:rPr>
        <w:t>N</w:t>
      </w:r>
      <w:r w:rsidR="0037391B" w:rsidRPr="00104EA9">
        <w:rPr>
          <w:rFonts w:ascii="Cambria" w:hAnsi="Cambria" w:cs="Times New Roman"/>
          <w:sz w:val="24"/>
        </w:rPr>
        <w:t>CPC:</w:t>
      </w:r>
      <w:r w:rsidRPr="00104EA9">
        <w:rPr>
          <w:rFonts w:ascii="Cambria" w:hAnsi="Cambria" w:cs="Times New Roman"/>
          <w:sz w:val="24"/>
        </w:rPr>
        <w:t xml:space="preserve"> A penhora observará, preferencialmente, a seguinte ordem:</w:t>
      </w:r>
    </w:p>
    <w:p w14:paraId="583E95B2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 – dinheiro, em espécie ou em depósito ou</w:t>
      </w:r>
    </w:p>
    <w:p w14:paraId="7401AAA6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aplicação em instituição financeira;</w:t>
      </w:r>
    </w:p>
    <w:p w14:paraId="7EFC8C1A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II – títulos da dívida pública da União, dos</w:t>
      </w:r>
    </w:p>
    <w:p w14:paraId="3997AD91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Estados e do Distrito Federal com cotação em</w:t>
      </w:r>
    </w:p>
    <w:p w14:paraId="0AEA71B7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mercado;</w:t>
      </w:r>
    </w:p>
    <w:p w14:paraId="5F192B62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III – títulos e valores mobiliários com</w:t>
      </w:r>
    </w:p>
    <w:p w14:paraId="63A22764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cotação em mercado;</w:t>
      </w:r>
    </w:p>
    <w:p w14:paraId="5ECE0A88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IV – veículos de via terrestre;</w:t>
      </w:r>
    </w:p>
    <w:p w14:paraId="2176F021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V – bens imóveis;</w:t>
      </w:r>
    </w:p>
    <w:p w14:paraId="6AE6EAF7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VI – bens móveis em geral;</w:t>
      </w:r>
    </w:p>
    <w:p w14:paraId="37D102C9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VII – semoventes;</w:t>
      </w:r>
    </w:p>
    <w:p w14:paraId="6864B900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VIII – navios e aeronaves;</w:t>
      </w:r>
    </w:p>
    <w:p w14:paraId="7B1A28FC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IX – ações e quotas de sociedades simples e</w:t>
      </w:r>
    </w:p>
    <w:p w14:paraId="35A352A5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empresárias;</w:t>
      </w:r>
    </w:p>
    <w:p w14:paraId="55A64A99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X – percentual do faturamento de empresa</w:t>
      </w:r>
    </w:p>
    <w:p w14:paraId="6788B46F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devedora;</w:t>
      </w:r>
    </w:p>
    <w:p w14:paraId="027EF2E6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XI – pedras e metais preciosos;</w:t>
      </w:r>
    </w:p>
    <w:p w14:paraId="5B391C99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XII – direitos aquisitivos derivados de</w:t>
      </w:r>
    </w:p>
    <w:p w14:paraId="390AF885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promessa de compra e venda e de alienação</w:t>
      </w:r>
    </w:p>
    <w:p w14:paraId="74ECD61D" w14:textId="77777777" w:rsidR="00545C8A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fiduciária em garantia;</w:t>
      </w:r>
    </w:p>
    <w:p w14:paraId="3CDF0189" w14:textId="77777777" w:rsidR="0037391B" w:rsidRPr="00104EA9" w:rsidRDefault="00545C8A" w:rsidP="00545C8A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 xml:space="preserve">XIII – outros direitos. </w:t>
      </w:r>
      <w:r w:rsidRPr="00104EA9">
        <w:rPr>
          <w:rFonts w:ascii="Cambria" w:hAnsi="Cambria" w:cs="Times New Roman"/>
          <w:sz w:val="24"/>
        </w:rPr>
        <w:cr/>
      </w:r>
    </w:p>
    <w:p w14:paraId="524AA6E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reclamada nomeou à penhora BENS MÓVEIS, equipamentos de informática de última geração, em excelente estado de uso e conservação.</w:t>
      </w:r>
    </w:p>
    <w:p w14:paraId="14F2E13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4B6ABE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reclamante não aceitou os bens nomeados, indicando à penhora crédito que deverão ser recebidos pela empresa dos impetrantes</w:t>
      </w:r>
    </w:p>
    <w:p w14:paraId="2EEDD49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7500D77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Houve violação de tal ordem pela reclamada, que indicou, não dinheiro, mas bens móveis à penhora, por outro lado, também a autoridade coatora desobedeceu a ordem legal, determinando a penhora de bens elencados no último inciso, ou seja, que deveriam ser utilizados como último recurso de garantia do processo, uma vez que existem bens móveis disponíveis e já indicados à penhora. E mais. determinou que a penhora recaísse sobre os créditos da empresa dos impetrantes, que não integram mais a pessoa jurídica contra a qual foram proposta as Reclamações Trabalhistas.</w:t>
      </w:r>
    </w:p>
    <w:p w14:paraId="3C5664F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596D34D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- Ao in</w:t>
      </w:r>
      <w:r w:rsidR="00545C8A" w:rsidRPr="00104EA9">
        <w:rPr>
          <w:rFonts w:ascii="Cambria" w:hAnsi="Cambria" w:cs="Times New Roman"/>
          <w:sz w:val="24"/>
        </w:rPr>
        <w:t xml:space="preserve">observar o disposto no art. 835 </w:t>
      </w:r>
      <w:r w:rsidRPr="00104EA9">
        <w:rPr>
          <w:rFonts w:ascii="Cambria" w:hAnsi="Cambria" w:cs="Times New Roman"/>
          <w:sz w:val="24"/>
        </w:rPr>
        <w:t xml:space="preserve">do </w:t>
      </w:r>
      <w:r w:rsidR="00545C8A" w:rsidRPr="00104EA9">
        <w:rPr>
          <w:rFonts w:ascii="Cambria" w:hAnsi="Cambria" w:cs="Times New Roman"/>
          <w:sz w:val="24"/>
        </w:rPr>
        <w:t>N</w:t>
      </w:r>
      <w:r w:rsidRPr="00104EA9">
        <w:rPr>
          <w:rFonts w:ascii="Cambria" w:hAnsi="Cambria" w:cs="Times New Roman"/>
          <w:sz w:val="24"/>
        </w:rPr>
        <w:t>CPC e determinar que a penhora recaísse  sobre os créditos de terceiros, a Douta Magistrada violou portanto, direito líquido e certo dos impetrantes.</w:t>
      </w:r>
    </w:p>
    <w:p w14:paraId="4D90403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31FD703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1.2.  IMPOSSIBILIDADE DE CUMPRIMENTO DE OBRIGAÇÕES TRABALHISTAS, FISCAIS, PREVIDENCIÁRIAS E SOCIAIS</w:t>
      </w:r>
    </w:p>
    <w:p w14:paraId="62C6410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6AB95D9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efetivação da penhora sobre os créditos impedirá o cumprimento de obrigações trabalhistas e outras delas decorrentes.</w:t>
      </w:r>
    </w:p>
    <w:p w14:paraId="6449597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6CF995E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empresa dos impetrantes atua no ramo de prestação de serviços de processamento de dados, e firma contratos com entidades de direito público e privado.</w:t>
      </w:r>
    </w:p>
    <w:p w14:paraId="3DF97652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63CFDB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preço do serviço é ajustado de acordo com o número de empregados utilizados na execução do objeto do contrato.</w:t>
      </w:r>
    </w:p>
    <w:p w14:paraId="0CDED5E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5BC02EF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Desta forma, os salários percebidos pelos empregados da impetrante estão diretamente vinculado às quantias recebidas pela empresa prestadora de serviços.</w:t>
      </w:r>
    </w:p>
    <w:p w14:paraId="76D6C13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7BEAAF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Uma vez bloqueados os valores a serem recebidos em contraprestação aos serviços prestados pela empresa dos impetrantes, tornar-se-á efetivamente impossível o cumprimento da obrigação de pagar salários, assim como o adimplemento das obrigações sociais, fiscais e previdenciárias.</w:t>
      </w:r>
    </w:p>
    <w:p w14:paraId="58B11BF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D8BD8C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É inadmissível que prossiga a ordem judicial de constrição, em virtude de existirem inúmeros bens capazes de garantir a aludida execução em nome da reclamada.</w:t>
      </w:r>
    </w:p>
    <w:p w14:paraId="1909488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142F456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1.3. OBSTACULIZAÇÃO DA ATIVIDADE EMPRESARIAL</w:t>
      </w:r>
    </w:p>
    <w:p w14:paraId="748606E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54C4F77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 xml:space="preserve">Vê-se que o </w:t>
      </w:r>
      <w:r w:rsidR="00545C8A" w:rsidRPr="00104EA9">
        <w:rPr>
          <w:rFonts w:ascii="Cambria" w:hAnsi="Cambria" w:cs="Times New Roman"/>
          <w:sz w:val="24"/>
        </w:rPr>
        <w:t>exequente</w:t>
      </w:r>
      <w:r w:rsidRPr="00104EA9">
        <w:rPr>
          <w:rFonts w:ascii="Cambria" w:hAnsi="Cambria" w:cs="Times New Roman"/>
          <w:sz w:val="24"/>
        </w:rPr>
        <w:t xml:space="preserve"> indicou à penhora créditos da executada junto a TODAS AS EMPRESAS TOMADORAS DE SEUS SERVIÇOS (CEF, CELEPAR, BANESTADO, SECRETARIA DE ESTADO DA FAZENDA, DATAPREV E SANEPAR).</w:t>
      </w:r>
    </w:p>
    <w:p w14:paraId="23562E6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3C3FED2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Todos os créditos indicados à penhora são o sustento da empresa e constituem a própria atividade empresarial.</w:t>
      </w:r>
    </w:p>
    <w:p w14:paraId="7B79DE0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0D47FC8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Sem as rendas, não há possibilidade de sobrevivência da empresa, que não terá condições de continuar o trabalho junto às empresas clientes.</w:t>
      </w:r>
    </w:p>
    <w:p w14:paraId="1DB07BAD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685562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2.  DO CABIMENTO DO MANDADO DE SEGURANÇA</w:t>
      </w:r>
    </w:p>
    <w:p w14:paraId="1446890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7104C01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Dispõe o artigo 5º, inciso LXIX, da Constituição Federal:</w:t>
      </w:r>
    </w:p>
    <w:p w14:paraId="5E4A22A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5D21051D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"conceder-se-á mandado de segurança para proteger direito líquido e certo, não amparado por "habeas corpus" ou "habeas data", quando o responsável pela ilegalidade ou abuso do poder for autoridade pública ou agente de pessoa jurídica no exercício de atribuições do Poder Público;"</w:t>
      </w:r>
    </w:p>
    <w:p w14:paraId="56CE013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3810EF4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Da ilegal determinação da juíza coatora não cabe qualquer espécie de recurso, em sentido estrito. Veja-se, ademais, que os embargos à execução não podem ser opostos, visto que ainda não ocorreu a penhora, inobstante já determinada, conforme demonstrou-se.</w:t>
      </w:r>
    </w:p>
    <w:p w14:paraId="7CB9146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6351369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presente ação mandamental visa justamente evitar a consumação da penhora.</w:t>
      </w:r>
    </w:p>
    <w:p w14:paraId="3DA84A73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7C3CE07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liquidez do direito dos impetrantes, assim como sua certeza, igualmente são incontestáveis, "in casu", pois inquestionável que:</w:t>
      </w:r>
    </w:p>
    <w:p w14:paraId="467C020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1E66CDCA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 xml:space="preserve">- </w:t>
      </w:r>
      <w:r w:rsidR="00545C8A" w:rsidRPr="00104EA9">
        <w:rPr>
          <w:rFonts w:ascii="Cambria" w:hAnsi="Cambria" w:cs="Times New Roman"/>
          <w:sz w:val="24"/>
        </w:rPr>
        <w:t xml:space="preserve">deve ser observado o artigo 835 </w:t>
      </w:r>
      <w:r w:rsidRPr="00104EA9">
        <w:rPr>
          <w:rFonts w:ascii="Cambria" w:hAnsi="Cambria" w:cs="Times New Roman"/>
          <w:sz w:val="24"/>
        </w:rPr>
        <w:t xml:space="preserve">do </w:t>
      </w:r>
      <w:r w:rsidR="00545C8A" w:rsidRPr="00104EA9">
        <w:rPr>
          <w:rFonts w:ascii="Cambria" w:hAnsi="Cambria" w:cs="Times New Roman"/>
          <w:sz w:val="24"/>
        </w:rPr>
        <w:t>N</w:t>
      </w:r>
      <w:r w:rsidRPr="00104EA9">
        <w:rPr>
          <w:rFonts w:ascii="Cambria" w:hAnsi="Cambria" w:cs="Times New Roman"/>
          <w:sz w:val="24"/>
        </w:rPr>
        <w:t>CPC e aceitar os bens indicados à penhora pela executada;</w:t>
      </w:r>
    </w:p>
    <w:p w14:paraId="68F192E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169D7D9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 xml:space="preserve">- os impetrantes não integraram a lide, não são mais </w:t>
      </w:r>
      <w:r w:rsidR="00545C8A" w:rsidRPr="00104EA9">
        <w:rPr>
          <w:rFonts w:ascii="Cambria" w:hAnsi="Cambria" w:cs="Times New Roman"/>
          <w:sz w:val="24"/>
        </w:rPr>
        <w:t xml:space="preserve">integrantes da empresa </w:t>
      </w:r>
      <w:r w:rsidRPr="00104EA9">
        <w:rPr>
          <w:rFonts w:ascii="Cambria" w:hAnsi="Cambria" w:cs="Times New Roman"/>
          <w:sz w:val="24"/>
        </w:rPr>
        <w:t>e os bens indicados pelos requerentes, constituem patrimônio particular dos impetrantes.</w:t>
      </w:r>
    </w:p>
    <w:p w14:paraId="32E6C86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5AA27E51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Destarte, imprescindível a concessão da segurança, para que estejam protegidos os direitos supra mencionados.</w:t>
      </w:r>
    </w:p>
    <w:p w14:paraId="26D4C90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4C312F6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entendimento jurisprudencial proclama:</w:t>
      </w:r>
    </w:p>
    <w:p w14:paraId="15F4EAD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6FE24B8A" w14:textId="77777777" w:rsidR="0037391B" w:rsidRPr="00104EA9" w:rsidRDefault="0037391B" w:rsidP="00545C8A">
      <w:pPr>
        <w:ind w:left="1418"/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"MANDADO DE SEGURANÇA - PENHORA - A penhora de crédito em conta corrente do hospital impetrante não só prejudica a sua sobrevivência como impede o pagamento dos salários dos empregados, pelo que merece ser cassada via mandado de segurança como meio de desbloqueio dos recursos financeiros do impetrante e de manter em funcionamento os serviços de utilidade pública, especialmente se oferecidos outros bens garantidores de dita penhora, sendo eles livres e desembaraçados. Presente o direito líquido e certo do impetrante, evidenciado pelo perigo na demora do atendimento da medida. Mantida a decisão regional." (TST-RX-OF 106.443/94.4, Ac. SDI 1910/95, Rel. Min. Vantuil Abdala, DJU 30.06.95, "in" COLETÂNEA DE LEGISLAÇÃO TRABALHISTA ATUALIZÁVEL, Ed. Síntese, p. 875, verbete E.270)</w:t>
      </w:r>
    </w:p>
    <w:p w14:paraId="5778DCA0" w14:textId="77777777" w:rsidR="0037391B" w:rsidRPr="00104EA9" w:rsidRDefault="0037391B" w:rsidP="00545C8A">
      <w:pPr>
        <w:ind w:left="1418"/>
        <w:jc w:val="both"/>
        <w:rPr>
          <w:rFonts w:ascii="Cambria" w:hAnsi="Cambria" w:cs="Times New Roman"/>
          <w:sz w:val="24"/>
        </w:rPr>
      </w:pPr>
    </w:p>
    <w:p w14:paraId="52B4CAC1" w14:textId="77777777" w:rsidR="0037391B" w:rsidRPr="00104EA9" w:rsidRDefault="0037391B" w:rsidP="00545C8A">
      <w:pPr>
        <w:ind w:left="1418"/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"PENHORA - APLICAÇÃO DO ARTIGO 620 DO CPC - Se os bens penhorados, considerada a sua avaliação, cobrem o valor da execução, não é razoável substituí-los pelo saldo da conta corrente bancária do executado, atingindo o capital de giro necessário à manutenção de seu negócio comercial." (TRT 4ª Região, MS 94.025298-8, Rel. Juiz Antonio Salgado Martins, DJU 08.05.95, ob. cit. acima, p. 875, verbete E 272).</w:t>
      </w:r>
    </w:p>
    <w:p w14:paraId="7CD325C7" w14:textId="77777777" w:rsidR="0037391B" w:rsidRPr="00104EA9" w:rsidRDefault="0037391B" w:rsidP="00545C8A">
      <w:pPr>
        <w:ind w:left="1418"/>
        <w:jc w:val="both"/>
        <w:rPr>
          <w:rFonts w:ascii="Cambria" w:hAnsi="Cambria" w:cs="Times New Roman"/>
          <w:sz w:val="24"/>
        </w:rPr>
      </w:pPr>
    </w:p>
    <w:p w14:paraId="4B5D3110" w14:textId="77777777" w:rsidR="0037391B" w:rsidRPr="00104EA9" w:rsidRDefault="0037391B" w:rsidP="00545C8A">
      <w:pPr>
        <w:ind w:left="1418"/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"MANDADO DE SEGURANÇA - BLOQUEIO DE TODOS CRÉDITOS DO RECLAMADO</w:t>
      </w:r>
    </w:p>
    <w:p w14:paraId="513010B2" w14:textId="77777777" w:rsidR="0037391B" w:rsidRPr="00104EA9" w:rsidRDefault="0037391B" w:rsidP="00545C8A">
      <w:pPr>
        <w:ind w:left="1418"/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bloqueio de todos os créditos do reclamado impede a continuidade da atividade econômica, indo contra também o princípio da continuidade das relações trabalhistas. Remessa conhecida e desprovida." (TST - RX-OF 76.660/93.2 - Ac. SDI 297/94 - Rel. Armando de Brito - DJU 13.05.94. "In" Coletânea de Legislação Trabalhista Atualizável, Editora Síntese, página 941, verbete nº M.017)</w:t>
      </w:r>
    </w:p>
    <w:p w14:paraId="3BFD6D5B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4591D1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3. DA CONCESSÃO LIMINAR DA SEGURANÇA</w:t>
      </w:r>
    </w:p>
    <w:p w14:paraId="69BDDDC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33F341F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prosseguimento da execução poderá acarretar prejuízo irreparável aos ora impetrantes, uma vez constritos os créditos.</w:t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6366C90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A demora na concessão da segurança gerará prejuízos irreparáveis aos impetrantes como também, e principalmente, aos seus empregados, eis que será, atingido o capital de giro, haverá impossibilidade de pagamento de salários e cumprimento das obrigações consectárias.</w:t>
      </w:r>
    </w:p>
    <w:p w14:paraId="40EF7CE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3E9739F4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Por isso, o atendimento do pedido dos impetrante deve preceder à consumação da penhora, que está em vias de ocorrer, causando todos os prejuízos retro mencionados.</w:t>
      </w:r>
    </w:p>
    <w:p w14:paraId="4A971A8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21E1CBE5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 Artigo 7º da Lei 1.533/51 determina:</w:t>
      </w:r>
    </w:p>
    <w:p w14:paraId="6E57C6A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386D439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"Art. 7º. Ao despachar a inicial o juiz ordenará:</w:t>
      </w:r>
    </w:p>
    <w:p w14:paraId="52C7F8E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 - ...;</w:t>
      </w:r>
    </w:p>
    <w:p w14:paraId="5CA4EDCA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II - que se suspenda o ato que deu motivo ao pedido quando for relevante o fundamento e do ato impugnado puder resultar a ineficácia da medida caso seja deferida."</w:t>
      </w:r>
    </w:p>
    <w:p w14:paraId="3E4354D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381AC2FA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DOS PEDIDOS</w:t>
      </w:r>
    </w:p>
    <w:p w14:paraId="75B6C8D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0448A2D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Presentes os requisitos do necessários, impõe-se a concessão liminar da segurança para suspender-se o processo, evitando-se que seja levada a efeito a ordem da MM. Juíza ...., que determinou a penhora de créditos da empresa dos impetrantes junto aos tomadores de seus serviços, para ao final, anular-se o mandado de penhora, com a constrição dos bens já nomeados pela executada às fls. .../... dos autos da Ação Trabalhista referida.</w:t>
      </w:r>
    </w:p>
    <w:p w14:paraId="6075835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173C73C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Outrossim, requer-se seja notificada a autoridade coatora, para que preste, querendo, os devidos esclarecimentos no prazo de .... dias.</w:t>
      </w:r>
    </w:p>
    <w:p w14:paraId="053272FC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  <w:r w:rsidRPr="00104EA9">
        <w:rPr>
          <w:rFonts w:ascii="Cambria" w:hAnsi="Cambria" w:cs="Times New Roman"/>
          <w:sz w:val="24"/>
        </w:rPr>
        <w:tab/>
      </w:r>
    </w:p>
    <w:p w14:paraId="7B71F14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Dá-se à causa o valor de R$ .....</w:t>
      </w:r>
    </w:p>
    <w:p w14:paraId="5D4238C9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50896AE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Nesses Termos,</w:t>
      </w:r>
    </w:p>
    <w:p w14:paraId="42D82C97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Pede Deferimento.</w:t>
      </w:r>
    </w:p>
    <w:p w14:paraId="7A33678E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2118B676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[Local], [dia] de [mês] de [ano].</w:t>
      </w:r>
    </w:p>
    <w:p w14:paraId="4C1C9AB8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</w:p>
    <w:p w14:paraId="0068541F" w14:textId="77777777" w:rsidR="0037391B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[Assinatura do Advogado]</w:t>
      </w:r>
    </w:p>
    <w:p w14:paraId="3D6FE37B" w14:textId="77777777" w:rsidR="00FB7DF7" w:rsidRPr="00104EA9" w:rsidRDefault="0037391B" w:rsidP="0037391B">
      <w:pPr>
        <w:jc w:val="both"/>
        <w:rPr>
          <w:rFonts w:ascii="Cambria" w:hAnsi="Cambria" w:cs="Times New Roman"/>
          <w:sz w:val="24"/>
        </w:rPr>
      </w:pPr>
      <w:r w:rsidRPr="00104EA9">
        <w:rPr>
          <w:rFonts w:ascii="Cambria" w:hAnsi="Cambria" w:cs="Times New Roman"/>
          <w:sz w:val="24"/>
        </w:rPr>
        <w:t>[Número de Inscrição na OAB]</w:t>
      </w:r>
    </w:p>
    <w:sectPr w:rsidR="00FB7DF7" w:rsidRPr="00104EA9" w:rsidSect="003739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60" w:right="1700" w:bottom="1360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994FA" w14:textId="77777777" w:rsidR="00104EA9" w:rsidRDefault="00104EA9" w:rsidP="00104EA9">
      <w:pPr>
        <w:spacing w:after="0" w:line="240" w:lineRule="auto"/>
      </w:pPr>
      <w:r>
        <w:separator/>
      </w:r>
    </w:p>
  </w:endnote>
  <w:endnote w:type="continuationSeparator" w:id="0">
    <w:p w14:paraId="2F727EA0" w14:textId="77777777" w:rsidR="00104EA9" w:rsidRDefault="00104EA9" w:rsidP="00104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09D27" w14:textId="77777777" w:rsidR="00104EA9" w:rsidRDefault="00104E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A2005" w14:textId="5240DDA4" w:rsidR="00104EA9" w:rsidRPr="00104EA9" w:rsidRDefault="00104EA9" w:rsidP="00104EA9">
    <w:pPr>
      <w:pStyle w:val="Rodap"/>
      <w:jc w:val="center"/>
      <w:rPr>
        <w:color w:val="C0C0C0"/>
      </w:rPr>
    </w:pPr>
    <w:r w:rsidRPr="00104EA9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9EB54" w14:textId="77777777" w:rsidR="00104EA9" w:rsidRDefault="00104E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4E56A" w14:textId="77777777" w:rsidR="00104EA9" w:rsidRDefault="00104EA9" w:rsidP="00104EA9">
      <w:pPr>
        <w:spacing w:after="0" w:line="240" w:lineRule="auto"/>
      </w:pPr>
      <w:r>
        <w:separator/>
      </w:r>
    </w:p>
  </w:footnote>
  <w:footnote w:type="continuationSeparator" w:id="0">
    <w:p w14:paraId="411B3CF0" w14:textId="77777777" w:rsidR="00104EA9" w:rsidRDefault="00104EA9" w:rsidP="00104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D78E3" w14:textId="77777777" w:rsidR="00104EA9" w:rsidRDefault="00104E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B1EB8" w14:textId="5E35D533" w:rsidR="00104EA9" w:rsidRPr="00104EA9" w:rsidRDefault="00104EA9" w:rsidP="00104EA9">
    <w:pPr>
      <w:pStyle w:val="Cabealho"/>
      <w:jc w:val="center"/>
      <w:rPr>
        <w:color w:val="C0C0C0"/>
      </w:rPr>
    </w:pPr>
    <w:r w:rsidRPr="00104EA9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05571" w14:textId="77777777" w:rsidR="00104EA9" w:rsidRDefault="00104E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91B"/>
    <w:rsid w:val="00104EA9"/>
    <w:rsid w:val="0037391B"/>
    <w:rsid w:val="00545C8A"/>
    <w:rsid w:val="00FB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AED0"/>
  <w15:chartTrackingRefBased/>
  <w15:docId w15:val="{8679ED19-DEB0-4A96-8E23-EAFC4049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04E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4EA9"/>
  </w:style>
  <w:style w:type="paragraph" w:styleId="Rodap">
    <w:name w:val="footer"/>
    <w:basedOn w:val="Normal"/>
    <w:link w:val="RodapChar"/>
    <w:uiPriority w:val="99"/>
    <w:unhideWhenUsed/>
    <w:rsid w:val="00104E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4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2005</Words>
  <Characters>10829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Anderson Chile</cp:lastModifiedBy>
  <cp:revision>2</cp:revision>
  <dcterms:created xsi:type="dcterms:W3CDTF">2023-11-06T21:04:00Z</dcterms:created>
  <dcterms:modified xsi:type="dcterms:W3CDTF">2023-11-06T21:04:00Z</dcterms:modified>
</cp:coreProperties>
</file>