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3CE57" w14:textId="77777777" w:rsidR="002923D2" w:rsidRDefault="002923D2" w:rsidP="002923D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PESSOA (Art. 839 e ss.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44F9EB2" w14:textId="77777777" w:rsidR="002923D2" w:rsidRDefault="002923D2" w:rsidP="002923D2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casado, portador da Carteira de Identidade nº (xxx), inscrito no CPF sob o nº (xxx), residente e domiciliado na Rua (xxx), nº (xxx), Bairro (xxx), Cidade (xxx), Cep. (xxx), no Estado de (xxx), por seu procurador infra-assinado, com escritório profissional situado na Rua (xxx), nº (xxx), Bairro (xxx), Cidade (xxx), Cep. (xxx), no Estado de (xxx), onde recebe intimações, vem à presença de V. Excia., propor a seguinte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</w:p>
    <w:p w14:paraId="3D87EA42" w14:textId="77777777" w:rsidR="002923D2" w:rsidRDefault="002923D2" w:rsidP="002923D2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MENOR</w:t>
      </w:r>
    </w:p>
    <w:p w14:paraId="2232B4CE" w14:textId="77777777" w:rsidR="002923D2" w:rsidRDefault="002923D2" w:rsidP="002923D2"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nos termos do art. 839 e 840,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(Nacionalidade), (Profissão), casada, portadora da Carteira de Identidade nº (xxx), inscrita no CPF sob o nº (xxx), residente na Rua (xxx), nº (xxx), Bairro (xxx), Cidade (xxx), Cep. (xxx), no Estado de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Conforme se pode facilmente verificar, mediante certidões anexas (docs. 1 e 2), na data de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>se casaram, tendo advindo desta união o filho (xxx), menor com apenas (xxx) anos de idade.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os cônjuges estão separados desde a data de (xxx), por motivos de foro íntimo. Desde então, acordou-se que o filho permaneceria em poder da mãe até ulterior deliberação judicial.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Necessário constar-se,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sua mulher estão tratando de ajuizar Ação de Separação Judicial, em razão do impossível convívio familiar sob o mesmo teto.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Entrementes, na data de (xxx),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levou o menor para fora do Estado, sem prévia comunicação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no intuito de subtraí-lo à decisão judicial, caso esta lhe seja desfavorável, conforme o provam os depoimentos das testemunhas arroladas.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Sabe-se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e o menor encontram-se residindo temporariamente na Rua (xxx), nº (xxx), Bairro (xxx), Cidade (xxx), Cep. (xxx), no Estado de (xxx), de acordo com informações obtidas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através de terceiros.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possibilidade da medida cautelar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- A medida cautelar de busca e apreensão vem objetivamente definida pelo Código de Processo Civil, como se pode apreender: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839. </w:t>
      </w:r>
      <w:r>
        <w:rPr>
          <w:rFonts w:ascii="Arial" w:hAnsi="Arial" w:cs="Arial"/>
          <w:i/>
          <w:iCs/>
          <w:color w:val="000000"/>
          <w:sz w:val="17"/>
          <w:szCs w:val="17"/>
        </w:rPr>
        <w:t>O juiz pode decretar a busca e apreensão de pessoas ou de coisas."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 - Ademais, a determinação do art. 840 do mesmo diploma legal resta sobejamente atendida, ensejando a total possibilidade de deferir-se a medida cautelar pretendida: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840. </w:t>
      </w:r>
      <w:r>
        <w:rPr>
          <w:rFonts w:ascii="Arial" w:hAnsi="Arial" w:cs="Arial"/>
          <w:i/>
          <w:iCs/>
          <w:color w:val="000000"/>
          <w:sz w:val="17"/>
          <w:szCs w:val="17"/>
        </w:rPr>
        <w:t>Na petição inicial exporá o requerente as razões justificativas da medida e da ciência de estar a pessoa ou a coisa no lugar designado</w:t>
      </w:r>
      <w:r>
        <w:rPr>
          <w:rFonts w:ascii="Arial" w:hAnsi="Arial" w:cs="Arial"/>
          <w:color w:val="000000"/>
          <w:sz w:val="17"/>
          <w:szCs w:val="17"/>
        </w:rPr>
        <w:t>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 - Desta feita, conforme explanado anteriormente, a medida justifica-se pelo perigo iminente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em lhe sendo desfavorável a decisão de guarda do menor, se esquivar do cumprimento da obrigação de entregá-lo ao seu genitor, levando-o, furtivamente, para lugar desconhecido e fora do alcance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 - Além disto, o lugar onde se encontra o menor está devidamente descrito nesta peça exordial.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"periculum in mora" e do "fumus boni juris"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- Diante de todo o explanado, resta imperioso concluir-se pela extrema necessidade da medida cautelar, eis que patente a configuração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´periculum in mora´</w:t>
      </w:r>
      <w:r>
        <w:rPr>
          <w:rFonts w:ascii="Arial" w:hAnsi="Arial" w:cs="Arial"/>
          <w:color w:val="000000"/>
          <w:sz w:val="17"/>
          <w:szCs w:val="17"/>
        </w:rPr>
        <w:t xml:space="preserve"> e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´fumus boni juris´</w:t>
      </w:r>
      <w:r>
        <w:rPr>
          <w:rFonts w:ascii="Arial" w:hAnsi="Arial" w:cs="Arial"/>
          <w:color w:val="000000"/>
          <w:sz w:val="17"/>
          <w:szCs w:val="17"/>
        </w:rPr>
        <w:t>, nos termos do art. 801 do Código de Processo Civil, que se transcreve: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801.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O requerente pleiteará a medida cautelar em petição escrita, que indicará: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IV - </w:t>
      </w:r>
      <w:r>
        <w:rPr>
          <w:rFonts w:ascii="Arial" w:hAnsi="Arial" w:cs="Arial"/>
          <w:i/>
          <w:iCs/>
          <w:color w:val="000000"/>
          <w:sz w:val="17"/>
          <w:szCs w:val="17"/>
        </w:rPr>
        <w:t>a exposição sumária do direito ameaçado e o receio da lesão;</w:t>
      </w:r>
      <w:r>
        <w:rPr>
          <w:rFonts w:ascii="Arial" w:hAnsi="Arial" w:cs="Arial"/>
          <w:color w:val="000000"/>
          <w:sz w:val="17"/>
          <w:szCs w:val="17"/>
        </w:rPr>
        <w:t>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 - Ora, cumpre frisar, que o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 obter a guarda de seu filho, encontra-se ameaçado pela provável atitude de fuga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visando esquivar-se do cumprimento da sentença desfavorável, eis que no presente momento, levou o menor para outro Estado, sem o conhecimento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que somente veio a tomar ciência por meio de informações de terceiros.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 - Ademais, necessário anotar-se, 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tem gerado ao menor transtornos de ordem psíquica, mas, notadamente, prejuízos de ordem social e educacional, uma vez que a criança foi retirada do seu ambiente familiar, do convívio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parentes e amigos, e em maior gravidade, foi retirada da sua escola, correndo o risco de ser assaz prejudicada em seu rendimento, aprendizagem e consequente desenvolvimento escolar. Tal assertiva é irretorquível, uma vez que a criança foi agressivamente arrancada de seu meio, não havendo nenhum preparo que garantisse a amenização dos efeitos de uma mudança. Além disto, não se esperou, nem ao menos, o término do ano letivo, o que corrobora, maiormente, os prejuízos à ela impingidos.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 - Assim, a medida cautelar revela-se de suma importância, no sentido de garantir a eficácia da sentença que vier a ser prolatada no processo principal, no qual se discutirá a guarda do menor. É fundado, pois, o receio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 que se esperar pela tutela definitiva, possa restar prejudicada a apreciação da ação principal, e outrossim, frustrada a sua execução.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PEDIDO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julgada procedente a presente ação, por estarem presentes os requisitos essenciais - ´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</w:t>
      </w:r>
      <w:r>
        <w:rPr>
          <w:rFonts w:ascii="Arial" w:hAnsi="Arial" w:cs="Arial"/>
          <w:color w:val="000000"/>
          <w:sz w:val="17"/>
          <w:szCs w:val="17"/>
        </w:rPr>
        <w:t xml:space="preserve">´ e 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´fumus boni juris´ </w:t>
      </w:r>
      <w:r>
        <w:rPr>
          <w:rFonts w:ascii="Arial" w:hAnsi="Arial" w:cs="Arial"/>
          <w:color w:val="000000"/>
          <w:sz w:val="17"/>
          <w:szCs w:val="17"/>
        </w:rPr>
        <w:t xml:space="preserve">- expedindo-se o competente mandado de busca e apreensão do referido menor, no endereço (xxx), e posterior entrega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a quem deverá ser concedida a guarda provisória da criança.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apresentar defesa, no prazo de 5 (cinco) dias, conforme disposição do art. 802 do Código de Processo Civil, sob pena de serem presumidos como verdadeiros os fatos ora elencados, nos termos do art. 803 do mesmo diploma legal.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III </w:t>
      </w:r>
      <w:r>
        <w:rPr>
          <w:rFonts w:ascii="Arial" w:hAnsi="Arial" w:cs="Arial"/>
          <w:color w:val="000000"/>
          <w:sz w:val="17"/>
          <w:szCs w:val="17"/>
        </w:rPr>
        <w:t xml:space="preserve">- 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 arbitrados por este d.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 - A intimação do Ministério Público para que intervenha no feito, nos termos do art. 82 do Código de Processo Civil.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mediante prova documental, testemunhal, depoimento pessoal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e demais meios de prova em Direito admitidos, consoante disposição do art. 332 do Código de Processo Civil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2923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7D0EC" w14:textId="77777777" w:rsidR="00CE0835" w:rsidRDefault="00CE0835" w:rsidP="00CE0835">
      <w:r>
        <w:separator/>
      </w:r>
    </w:p>
  </w:endnote>
  <w:endnote w:type="continuationSeparator" w:id="0">
    <w:p w14:paraId="706215D6" w14:textId="77777777" w:rsidR="00CE0835" w:rsidRDefault="00CE0835" w:rsidP="00CE0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0828D" w14:textId="77777777" w:rsidR="00CE0835" w:rsidRDefault="00CE08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51F3A" w14:textId="4E7EE562" w:rsidR="00CE0835" w:rsidRPr="00CE0835" w:rsidRDefault="00CE0835" w:rsidP="00CE08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CDEFF" w14:textId="77777777" w:rsidR="00CE0835" w:rsidRDefault="00CE08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B1CDB" w14:textId="77777777" w:rsidR="00CE0835" w:rsidRDefault="00CE0835" w:rsidP="00CE0835">
      <w:r>
        <w:separator/>
      </w:r>
    </w:p>
  </w:footnote>
  <w:footnote w:type="continuationSeparator" w:id="0">
    <w:p w14:paraId="5B278DEB" w14:textId="77777777" w:rsidR="00CE0835" w:rsidRDefault="00CE0835" w:rsidP="00CE0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A9D62" w14:textId="77777777" w:rsidR="00CE0835" w:rsidRDefault="00CE08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3FDB8" w14:textId="3EC60A1E" w:rsidR="00CE0835" w:rsidRPr="00CE0835" w:rsidRDefault="00CE0835" w:rsidP="00CE08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6600" w14:textId="77777777" w:rsidR="00CE0835" w:rsidRDefault="00CE08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3D2"/>
    <w:rsid w:val="002923D2"/>
    <w:rsid w:val="003317A5"/>
    <w:rsid w:val="00CE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CAA70C"/>
  <w15:chartTrackingRefBased/>
  <w15:docId w15:val="{2710D098-EF86-4608-88F4-E641978F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923D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E08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E0835"/>
    <w:rPr>
      <w:sz w:val="24"/>
      <w:szCs w:val="24"/>
    </w:rPr>
  </w:style>
  <w:style w:type="paragraph" w:styleId="Rodap">
    <w:name w:val="footer"/>
    <w:basedOn w:val="Normal"/>
    <w:link w:val="RodapChar"/>
    <w:rsid w:val="00CE08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E08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5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BUSCA E APREENSÃO DE PESSOA (Art</vt:lpstr>
    </vt:vector>
  </TitlesOfParts>
  <Company>MicroHardware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BUSCA E APREENSÃO DE PESSOA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