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CD2E5" w14:textId="77777777" w:rsidR="00D77C9F" w:rsidRDefault="00D77C9F" w:rsidP="00D77C9F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CAUTELAR DE EXIBIÇÃO (Art. 844 e 845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22D355B6" w14:textId="77777777" w:rsidR="00D77C9F" w:rsidRDefault="00D77C9F" w:rsidP="00D77C9F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CEP.: (xxx), no Estado de (xxx), por seu procurador infra-assinado, mandato anexo (doc.1), com escritório profissional situado na Rua (xxx), nº (xxx), Bairro (xxx), Cidade (xxx), CEP.: (xxx), no Estado de (xxx), onde recebe intimações, vem à presença de V. Excia. propor a seguinte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</w:p>
    <w:p w14:paraId="208BFBA3" w14:textId="77777777" w:rsidR="00D77C9F" w:rsidRDefault="00D77C9F" w:rsidP="00D77C9F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CAUTELAR DE EXIBIÇÃO</w:t>
      </w:r>
    </w:p>
    <w:p w14:paraId="354171DC" w14:textId="77777777" w:rsidR="00D77C9F" w:rsidRDefault="00D77C9F" w:rsidP="00D77C9F"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nos termos do art. 844 do Código de Processo Civil,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REQUERIDO1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na Rua (xxx), nº (xxx), Bairro (xxx), Cidade (xxx), CEP.: (xxx), no Estado de (xxx), 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REQUERIDO2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CEP.: (xxx), no Estado de (xxx), pelos fatos e fundamentos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FATOS</w:t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Ao que se vislumbra,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manteve com os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REQUERIDOS</w:t>
      </w:r>
      <w:r>
        <w:rPr>
          <w:rFonts w:ascii="Arial" w:hAnsi="Arial" w:cs="Arial"/>
          <w:color w:val="000000"/>
          <w:sz w:val="17"/>
          <w:szCs w:val="17"/>
        </w:rPr>
        <w:t xml:space="preserve"> uma sociedade (xxx), pelo período de (xxx) anos, tendo se retirado em (xxx) do corrente ano.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Entrementes,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recebeu a parca quantia de R$ (xxx) referente à liquidação das suas quotas.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No entanto, as transações comerciais realizadas pela sociedade, quando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ainda integrava o corpo de sócios, levam a crer que o saldo que lhe deveria ter sido pago é sobejamente maior.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Desta feita,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procurou os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REQUERIDOS</w:t>
      </w:r>
      <w:r>
        <w:rPr>
          <w:rFonts w:ascii="Arial" w:hAnsi="Arial" w:cs="Arial"/>
          <w:color w:val="000000"/>
          <w:sz w:val="17"/>
          <w:szCs w:val="17"/>
        </w:rPr>
        <w:t xml:space="preserve"> a fim de obter maiores esclarecimentos acerca da apuração de sua quota-parte. No entanto, os dois sócios se negaram a disponibilizar as escriturações, balanços e quaisquer outros documentos necessários à elucidação do "</w:t>
      </w:r>
      <w:r>
        <w:rPr>
          <w:rFonts w:ascii="Arial" w:hAnsi="Arial" w:cs="Arial"/>
          <w:i/>
          <w:iCs/>
          <w:color w:val="000000"/>
          <w:sz w:val="17"/>
          <w:szCs w:val="17"/>
        </w:rPr>
        <w:t>quantum</w:t>
      </w:r>
      <w:r>
        <w:rPr>
          <w:rFonts w:ascii="Arial" w:hAnsi="Arial" w:cs="Arial"/>
          <w:color w:val="000000"/>
          <w:sz w:val="17"/>
          <w:szCs w:val="17"/>
        </w:rPr>
        <w:t>" pago.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Assim, socorre-se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das vias judiciais, mediante a propositura da presente ação cautelar, no intuito de concretizar o seu Direito de acesso aos documentos da sociedade, para que não restem dúvidas com relação aos valores atribuídos à liquidação das suas quotas.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DIREITO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liqüidação das quotas</w:t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primo loco</w:t>
      </w:r>
      <w:r>
        <w:rPr>
          <w:rFonts w:ascii="Arial" w:hAnsi="Arial" w:cs="Arial"/>
          <w:color w:val="000000"/>
          <w:sz w:val="17"/>
          <w:szCs w:val="17"/>
        </w:rPr>
        <w:t>, deve-se atentar para a abordagem dada pelo Código Civil, correlativamente à questão da retirada de um sócio e seus direitos perante a sociedade, como se pode verificar: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1031</w:t>
      </w:r>
      <w:r>
        <w:rPr>
          <w:rFonts w:ascii="Arial" w:hAnsi="Arial" w:cs="Arial"/>
          <w:i/>
          <w:iCs/>
          <w:color w:val="000000"/>
          <w:sz w:val="17"/>
          <w:szCs w:val="17"/>
        </w:rPr>
        <w:t>. Nos casos em que a sociedade se resolver em relação a um sócio, o valor da sua quota, considerada pelo montante efetivamente realizado, liquidar-se-á, salvo disposição contratual em contrário, com base na situação patrimonial da sociedade, à data da resolução, verificada em balanço especialmente levantado.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§ 1º O capital social sofrerá a correspondente redução, salvo se os demais sócios suprirem o valor da quota.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§ 2º A quota liquidada será paga em dinheiro, no prazo de noventa dias, a partir da liquidação, salvo acordo, ou estipulação contratual em contrário.</w:t>
      </w:r>
      <w:r>
        <w:rPr>
          <w:rFonts w:ascii="Arial" w:hAnsi="Arial" w:cs="Arial"/>
          <w:color w:val="000000"/>
          <w:sz w:val="17"/>
          <w:szCs w:val="17"/>
        </w:rPr>
        <w:t>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Em decorrência, aduz-se facilmente,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tem o direito à liquidação das suas quotas, de acordo com o estabelecido no artigo transcrito, ou seja, com base na situação patrimonial da sociedade à data da resolução.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Não obstante, existe a real possibilidade de que a apuração da quota-parte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tenha ocorrido à margem das disposições legais, burlando o procedimento determinado no artigo em voga.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Desta feita, está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autorizado a propor a presente cautelar, no sentido de proteger seus direitos, verificando a procedência ou não dos cálculos apresentados pelos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REQUERIDOS</w:t>
      </w:r>
      <w:r>
        <w:rPr>
          <w:rFonts w:ascii="Arial" w:hAnsi="Arial" w:cs="Arial"/>
          <w:color w:val="000000"/>
          <w:sz w:val="17"/>
          <w:szCs w:val="17"/>
        </w:rPr>
        <w:t>, salvaguardando, ademais, a eficácia da ação principal a ser proposta, na qual serão resgatados os valores realmente devidos.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exibição de documento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Destarte, por tudo quanto se explanou anteriormente, pode-se devidamente concluir a necessidade da medida cautelar, plenamente cabível nos termos do artigo 844 do Código de Processo Civil, que assim dispõe: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Art. 844. </w:t>
      </w:r>
      <w:r>
        <w:rPr>
          <w:rFonts w:ascii="Arial" w:hAnsi="Arial" w:cs="Arial"/>
          <w:i/>
          <w:iCs/>
          <w:color w:val="000000"/>
          <w:sz w:val="17"/>
          <w:szCs w:val="17"/>
        </w:rPr>
        <w:t>Tem lugar, como procedimento preparatório, a exibição judicial: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de coisa móvel em poder de outrem e que o requerente repute sua ou tenha interesse em conhecer;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de documento próprio ou comum, em poder de co-interessado, sócio, condômino, credor ou devedor; ou em poder de terceiro que o tenha em sua guarda, como inventariante, testamenteiro, depositário ou administrador de bens alheios;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III - da escrituração comercial por inteiro, balanços e documentos de arquivo, nos casos expressos em lei.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Ora, a motivação da presente ação subsume-se perfeitamente à hipótese determinada no inciso III do artigo supra transcrito, sendo certo, portanto, que através da exibição da escrituração comercial, dos balanços e documentos de arquivo, será possível apurar os valores ativos e passivos da sociedade, e outrossim, o </w:t>
      </w:r>
      <w:r>
        <w:rPr>
          <w:rFonts w:ascii="Arial" w:hAnsi="Arial" w:cs="Arial"/>
          <w:i/>
          <w:iCs/>
          <w:color w:val="000000"/>
          <w:sz w:val="17"/>
          <w:szCs w:val="17"/>
        </w:rPr>
        <w:t>´quantum´</w:t>
      </w:r>
      <w:r>
        <w:rPr>
          <w:rFonts w:ascii="Arial" w:hAnsi="Arial" w:cs="Arial"/>
          <w:color w:val="000000"/>
          <w:sz w:val="17"/>
          <w:szCs w:val="17"/>
        </w:rPr>
        <w:t xml:space="preserve"> a que tem direito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pela liqüidação das suas quotas.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´periculum in mora´ e do ´fumus boni juris´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Ora, pode restar configurada lesão ao direito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 comprovar-se fraude na liquidação de suas quotas. Desta feita, é patente que a propositura de futura Ação, visando o ressarcimento dos eventuais valores que lhe foram negados, depende do prévio conhecimento de balanço comercial da sociedade, e também, da certeza quanto à inobservância das disposições do art. 1.031 do Código Civil. Assim, explicita-se a caracterísitica assecuratória e preparatória da presente cautelar, tendo em vista subordinar-se a propositura de uma ação prinicipal, à certeza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quanto a seu direito, certeza esta que depende diretamente do procedimento ora requerido.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Ademais, há de se considerar, a existência de ameaça real ao direito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eis que a própria eficácia da Ação principal necessita ser preservada e garantida, posto que provável o risco de os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REQUERIDOS</w:t>
      </w:r>
      <w:r>
        <w:rPr>
          <w:rFonts w:ascii="Arial" w:hAnsi="Arial" w:cs="Arial"/>
          <w:color w:val="000000"/>
          <w:sz w:val="17"/>
          <w:szCs w:val="17"/>
        </w:rPr>
        <w:t xml:space="preserve"> se desfazerem ou alterarem os balanços comerciais da sociedade.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Assim, no intuito de se evitar, que haja alguma fraude correlativamente aos documentos assaz importantes para elucidação do valor pago à título de liquidação de suas quotas,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clama pela concessão da presente medida cautelar, na salvaguarda dos seus direitos.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procedimento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Conforme se lobriga, o art. 845 do Código de Processo Civil determina que o procedimento adotado na Ação cautelar de exibição será o disposto nos arts. </w:t>
      </w:r>
      <w:smartTag w:uri="urn:schemas-microsoft-com:office:smarttags" w:element="metricconverter">
        <w:smartTagPr>
          <w:attr w:name="ProductID" w:val="355 a"/>
        </w:smartTagPr>
        <w:r>
          <w:rPr>
            <w:rFonts w:ascii="Arial" w:hAnsi="Arial" w:cs="Arial"/>
            <w:color w:val="000000"/>
            <w:sz w:val="17"/>
            <w:szCs w:val="17"/>
          </w:rPr>
          <w:t>355 a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363 do mesmo diploma legal.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Desta feita, revela-se necessário atentar-se para as determinações do art. 356, que ora se transcreve: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356.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O pedido formulado pela parte conterá: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a individuação, tão completa quanto possível, do documento ou da coisa;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a finalidade da prova, indicando os fatos que se relacionam com o documento ou a coisa;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III - as circunstâncias em que se funda o requerente para afirmar que o documento ou a coisa existe e se acha em poder da parte contrária."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Ora, é patente que restam plenamente atendidas as determinações do artigo em apreço, como se pode verificar:</w:t>
      </w:r>
      <w:r>
        <w:rPr>
          <w:rFonts w:ascii="Arial" w:hAnsi="Arial" w:cs="Arial"/>
          <w:color w:val="000000"/>
          <w:sz w:val="17"/>
          <w:szCs w:val="17"/>
        </w:rPr>
        <w:br/>
        <w:t>       I - quanto à individuação, pleitea-se a exibição das escriturações comerciais, balanços e documentos de arquivo;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II - pretende-se comprovar, mediante a exibição dos documentos indicados, a veracidade ou não do </w:t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cálculos apresentados pelos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REQUERIDOS</w:t>
      </w:r>
      <w:r>
        <w:rPr>
          <w:rFonts w:ascii="Arial" w:hAnsi="Arial" w:cs="Arial"/>
          <w:color w:val="000000"/>
          <w:sz w:val="17"/>
          <w:szCs w:val="17"/>
        </w:rPr>
        <w:t xml:space="preserve">, e outrossim, a existência de saldo a ser pago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. Ademais, não se pode olvidar o fato de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em razão de ter integrado referida sociedade, entenda a plausibilidade de se pedir a exibição de alusivos documentos, dado o conhecimento das transações efetuadas antes de sua retirada da sociedade, que o levam a crer que fora lesado em seus direitos;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III - Há de se considerar, que em se tratando de uma empresa, é irretorquível a existência dos documentos ora pleiteados, bem como o fato de estarem em poder dos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REQUERIDOS</w:t>
      </w:r>
      <w:r>
        <w:rPr>
          <w:rFonts w:ascii="Arial" w:hAnsi="Arial" w:cs="Arial"/>
          <w:color w:val="000000"/>
          <w:sz w:val="17"/>
          <w:szCs w:val="17"/>
        </w:rPr>
        <w:t xml:space="preserve">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jurisprudência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Não outro o entendimento exarado pelos Tribunais, sendo inolvidável a pertinência da medida cautelar ora proposta, eis que se trata de um direito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o acesso aos documentos pleiteados. Neste sentido, veja-se a jurisprudência aqui transcrita: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"</w:t>
      </w:r>
      <w:r>
        <w:rPr>
          <w:rFonts w:ascii="Arial" w:hAnsi="Arial" w:cs="Arial"/>
          <w:i/>
          <w:iCs/>
          <w:color w:val="000000"/>
          <w:sz w:val="17"/>
          <w:szCs w:val="17"/>
        </w:rPr>
        <w:t>TAMG - Tribunal de Alçada de Minas Gerais - 1ª Câmara Cível - Julgamento em 29/08/2000 - Relator: JUIZ ALVIM SOARES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EMENTA: EXIBIÇÃO DE DOCUMENTOS.</w:t>
      </w:r>
      <w:r>
        <w:rPr>
          <w:rFonts w:ascii="Arial" w:hAnsi="Arial" w:cs="Arial"/>
          <w:i/>
          <w:iCs/>
          <w:color w:val="000000"/>
          <w:sz w:val="17"/>
          <w:szCs w:val="17"/>
        </w:rPr>
        <w:t>       Em medida cautelar (artigo 844 do CPC), vedada a discussão do mérito, deve a contestação cingir-se aos requisitos de sua admissibilidade...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... Meritoriamente, data venia, não há razões que amparem a pretensão recursal; o discorrido quanto à necessidade ou não dos documentos para a instrução almejada não merece maiores considerações; a uma, porque não compete em situações tais aquilatar a necessidade dos documentos; a duas, se fundada a cautelar no artigo 844 do CPC não lhe é permitido adentrar o mérito da questão, devendo a contestação limitar-se aos requisitos de sua admissibilidade; a três, porque manifesta a recusa na exibição dos documentos; demais, configura cerceamento ao direito de defesa o indeferimento do pedido de exibição de documentos relativos ao planejamento econômico-financeiro da instituição de ensino, visando a apuração do aumento abusivo de mensalidade escolar, conforme determinação do Art. 1º, caput, da Lei 8170/91, prerrogativa esta, também assegurada pelo Art. 6º, VII da Lei 8078/90, que amplia ao consumidor a defesa de seus interesses." (trecho de jurisprudência colhida do Informa Jurídico, Prolink Publicações, Ed. 30, Vol. III)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"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STJ - Superior Tribunal de Justiça - ACÓRDÃO - RECURSO ESPECIAL - Número do Processo: 421212 - QUARTA TURMA - Relator: RUY ROSADO DE AGUIAR - UF do Processo: RN - Data de Decisão: 03/09/2002 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Ementa: CAUTELAR. Exibição de livros</w:t>
      </w:r>
      <w:r>
        <w:rPr>
          <w:rFonts w:ascii="Arial" w:hAnsi="Arial" w:cs="Arial"/>
          <w:i/>
          <w:iCs/>
          <w:color w:val="000000"/>
          <w:sz w:val="17"/>
          <w:szCs w:val="17"/>
        </w:rPr>
        <w:t>. - A petição inicial atendeu ao exigido no art. 801, III, do CPC, ao descrever as relações entre as partes, a existência de alegado crédito e o propósito de promover oportuna ação de cobrança. - Uma das hipóteses previstas em lei que permite a exibição de livros comerciais, conforme exigência do art. 844, III, do CPC, está, em caso como o dos autos, no art. 19 do Código Comercial. Recurso não conhecido." (jurisprudência colhida do Informa Jurídico, Prolink Publicações, Ed. 30, Vol. III)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PEDIDOS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Pelo exposto, REQUER: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</w:t>
      </w:r>
      <w:r>
        <w:rPr>
          <w:rFonts w:ascii="Arial" w:hAnsi="Arial" w:cs="Arial"/>
          <w:color w:val="000000"/>
          <w:sz w:val="17"/>
          <w:szCs w:val="17"/>
        </w:rPr>
        <w:t xml:space="preserve"> - A citação dos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REQUERIDOS</w:t>
      </w:r>
      <w:r>
        <w:rPr>
          <w:rFonts w:ascii="Arial" w:hAnsi="Arial" w:cs="Arial"/>
          <w:color w:val="000000"/>
          <w:sz w:val="17"/>
          <w:szCs w:val="17"/>
        </w:rPr>
        <w:t xml:space="preserve"> para, no prazo de cinco dias, exibir em juízo os documentos, ou dar resposta, procedendo-se em conformidade aos arts. </w:t>
      </w:r>
      <w:smartTag w:uri="urn:schemas-microsoft-com:office:smarttags" w:element="metricconverter">
        <w:smartTagPr>
          <w:attr w:name="ProductID" w:val="355 a"/>
        </w:smartTagPr>
        <w:r>
          <w:rPr>
            <w:rFonts w:ascii="Arial" w:hAnsi="Arial" w:cs="Arial"/>
            <w:color w:val="000000"/>
            <w:sz w:val="17"/>
            <w:szCs w:val="17"/>
          </w:rPr>
          <w:t>355 a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363 do Código de Processo Civil, de acordo com a determinação do art. 845 do mesmo diploma legal.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</w:t>
      </w:r>
      <w:r>
        <w:rPr>
          <w:rFonts w:ascii="Arial" w:hAnsi="Arial" w:cs="Arial"/>
          <w:color w:val="000000"/>
          <w:sz w:val="17"/>
          <w:szCs w:val="17"/>
        </w:rPr>
        <w:t xml:space="preserve"> - Sejam tidos como verdadeiros os fatos que se pretende provar mediante a exibição dos documentos, se o requerido não efetuar a exibição, nem fizer qualquer declaração no prazo do Art. 357, ou se a recusa for havida por ilegítima, nos termos do art. 359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</w:t>
      </w:r>
      <w:r>
        <w:rPr>
          <w:rFonts w:ascii="Arial" w:hAnsi="Arial" w:cs="Arial"/>
          <w:color w:val="000000"/>
          <w:sz w:val="17"/>
          <w:szCs w:val="17"/>
        </w:rPr>
        <w:t xml:space="preserve"> - A condenação dos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REQUERIDOS</w:t>
      </w:r>
      <w:r>
        <w:rPr>
          <w:rFonts w:ascii="Arial" w:hAnsi="Arial" w:cs="Arial"/>
          <w:color w:val="000000"/>
          <w:sz w:val="17"/>
          <w:szCs w:val="17"/>
        </w:rPr>
        <w:t xml:space="preserve"> nas custas e honorários advocatícios.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 provar o alegado mediante prova documental, testemunhal, e demais meios de prova em Direito admitidos, consoante disposição do art. 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à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D77C9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A2591" w14:textId="77777777" w:rsidR="007071A0" w:rsidRDefault="007071A0" w:rsidP="007071A0">
      <w:r>
        <w:separator/>
      </w:r>
    </w:p>
  </w:endnote>
  <w:endnote w:type="continuationSeparator" w:id="0">
    <w:p w14:paraId="62850DEC" w14:textId="77777777" w:rsidR="007071A0" w:rsidRDefault="007071A0" w:rsidP="00707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B7862" w14:textId="77777777" w:rsidR="007071A0" w:rsidRDefault="007071A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44676" w14:textId="211A774D" w:rsidR="007071A0" w:rsidRPr="007071A0" w:rsidRDefault="007071A0" w:rsidP="007071A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19317" w14:textId="77777777" w:rsidR="007071A0" w:rsidRDefault="007071A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F5ADC" w14:textId="77777777" w:rsidR="007071A0" w:rsidRDefault="007071A0" w:rsidP="007071A0">
      <w:r>
        <w:separator/>
      </w:r>
    </w:p>
  </w:footnote>
  <w:footnote w:type="continuationSeparator" w:id="0">
    <w:p w14:paraId="4F9743AE" w14:textId="77777777" w:rsidR="007071A0" w:rsidRDefault="007071A0" w:rsidP="007071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090F2" w14:textId="77777777" w:rsidR="007071A0" w:rsidRDefault="007071A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CBE8B" w14:textId="7BCDCC10" w:rsidR="007071A0" w:rsidRPr="007071A0" w:rsidRDefault="007071A0" w:rsidP="007071A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87AF0" w14:textId="77777777" w:rsidR="007071A0" w:rsidRDefault="007071A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7C9F"/>
    <w:rsid w:val="002D666D"/>
    <w:rsid w:val="007071A0"/>
    <w:rsid w:val="00D7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56D69FD"/>
  <w15:chartTrackingRefBased/>
  <w15:docId w15:val="{EA1909E3-AFD1-420F-B7E6-0828B004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D77C9F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7071A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071A0"/>
    <w:rPr>
      <w:sz w:val="24"/>
      <w:szCs w:val="24"/>
    </w:rPr>
  </w:style>
  <w:style w:type="paragraph" w:styleId="Rodap">
    <w:name w:val="footer"/>
    <w:basedOn w:val="Normal"/>
    <w:link w:val="RodapChar"/>
    <w:rsid w:val="007071A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071A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1779</Words>
  <Characters>9610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CAUTELAR DE EXIBIÇÃO (Art</vt:lpstr>
    </vt:vector>
  </TitlesOfParts>
  <Company>MicroHardware</Company>
  <LinksUpToDate>false</LinksUpToDate>
  <CharactersWithSpaces>11367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CAUTELAR DE EXIBIÇÃO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2023-11-05T20:46:00Z</dcterms:modified>
</cp:coreProperties>
</file>