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6984A" w14:textId="77777777" w:rsidR="009D39FC" w:rsidRDefault="009D39FC" w:rsidP="009D39F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SEQÜESTRO (Art. 822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8AD3A55" w14:textId="77777777" w:rsidR="009D39FC" w:rsidRDefault="009D39FC" w:rsidP="009D39F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Autos nº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CASAMENTO</w:t>
      </w:r>
      <w:r>
        <w:rPr>
          <w:rFonts w:ascii="Arial" w:hAnsi="Arial" w:cs="Arial"/>
          <w:color w:val="000000"/>
          <w:sz w:val="17"/>
          <w:szCs w:val="17"/>
        </w:rPr>
        <w:t xml:space="preserve">, que lhe move sua esposa, por seu procurador infra-assinado, vem à presença de V. Exa., requerer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Seqüestro de Bens</w:t>
      </w:r>
      <w:r>
        <w:rPr>
          <w:rFonts w:ascii="Arial" w:hAnsi="Arial" w:cs="Arial"/>
          <w:color w:val="000000"/>
          <w:sz w:val="17"/>
          <w:szCs w:val="17"/>
        </w:rPr>
        <w:t>, pelas razões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cônjuge está dilapidando os bens do casal, com efeito, vem liquidando as dívidas ativas a qualquer preço e vendendo, sem necessidade, bens, no evidente propósito de prejudicar o requerente, sem atender, sequer, ao interesse dos filhos menores, conforme se verifica da documentação anexa (docs.2/6), bem como há de se provar pelas testemunas arroladas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Nesses termos, o artigo 822, III, do Código de Processo Civil, dispõe: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"Art. 822. O juiz, a requerimento da parte, pode decretar o seqüestro: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de bens móveis, semoventes ou imóveis, quando lhes for disputada a propriedade ou a posse, havendo fundado receio de rixas ou danificações;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 - dos frutos e rendimentos do imóvel reivindicando, se o réu, depois de condenado por sentença ainda sujeita a recurso, os dissipar;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III - dos bens do casal, nas ações de desquite e de anulação de casamento, se o cônjuge os estiver dilapidando;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IV - nos demais casos expressos em lei.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Ademais, faculta o Código Processual a concessão liminar, nos termos do artigo 804, verbis: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"Art. 804. É lícito ao juiz conceder liminarmente ou após justificação prévia a medida cautelar, sem ouvir o réu, quando verificar que este, sendo citado, poderá torná-la ineficaz, caso em que poderá determinar que o requerente preste caução real ou fidejussória de ressarcir os danos que o requerido possa vir a sofrer.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Sendo necessário mediante justificação prévia, mas inaudita altera parte, que V. Exa. se digne de determinar o seqüestro e depósito dos bens, prosseguindo-se, depois, como de direito.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14:paraId="68A3947C" w14:textId="77777777" w:rsidR="009D39FC" w:rsidRDefault="009D39FC"/>
    <w:sectPr w:rsidR="009D39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87BBF" w14:textId="77777777" w:rsidR="002129CD" w:rsidRDefault="002129CD" w:rsidP="002129CD">
      <w:r>
        <w:separator/>
      </w:r>
    </w:p>
  </w:endnote>
  <w:endnote w:type="continuationSeparator" w:id="0">
    <w:p w14:paraId="1A0FA7FE" w14:textId="77777777" w:rsidR="002129CD" w:rsidRDefault="002129CD" w:rsidP="0021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3FC6" w14:textId="77777777" w:rsidR="002129CD" w:rsidRDefault="002129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779C" w14:textId="5BEA0CC6" w:rsidR="002129CD" w:rsidRPr="002129CD" w:rsidRDefault="002129CD" w:rsidP="002129C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A2EFB" w14:textId="77777777" w:rsidR="002129CD" w:rsidRDefault="002129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475B6" w14:textId="77777777" w:rsidR="002129CD" w:rsidRDefault="002129CD" w:rsidP="002129CD">
      <w:r>
        <w:separator/>
      </w:r>
    </w:p>
  </w:footnote>
  <w:footnote w:type="continuationSeparator" w:id="0">
    <w:p w14:paraId="56D2E305" w14:textId="77777777" w:rsidR="002129CD" w:rsidRDefault="002129CD" w:rsidP="0021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5F2FC" w14:textId="77777777" w:rsidR="002129CD" w:rsidRDefault="002129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FECA2" w14:textId="410AF1C6" w:rsidR="002129CD" w:rsidRPr="002129CD" w:rsidRDefault="002129CD" w:rsidP="002129C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3E3EB" w14:textId="77777777" w:rsidR="002129CD" w:rsidRDefault="002129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9FC"/>
    <w:rsid w:val="002129CD"/>
    <w:rsid w:val="00404755"/>
    <w:rsid w:val="009D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E82EDC"/>
  <w15:chartTrackingRefBased/>
  <w15:docId w15:val="{DC23145A-7222-4FC0-9F4A-D73790DC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D39F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129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129CD"/>
    <w:rPr>
      <w:sz w:val="24"/>
      <w:szCs w:val="24"/>
    </w:rPr>
  </w:style>
  <w:style w:type="paragraph" w:styleId="Rodap">
    <w:name w:val="footer"/>
    <w:basedOn w:val="Normal"/>
    <w:link w:val="RodapChar"/>
    <w:rsid w:val="002129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129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SEQÜESTRO (Art</vt:lpstr>
    </vt:vector>
  </TitlesOfParts>
  <Company>MicroHardware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SEQÜESTRO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