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46631" w14:textId="77777777" w:rsidR="00E86416" w:rsidRDefault="00E86416" w:rsidP="00E8641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PIGNORATÍCIA ( Art 1422 do NCC)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FF11CDF" w14:textId="77777777" w:rsidR="00E86416" w:rsidRDefault="00E86416" w:rsidP="00E86416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propor       a seguinte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3FED8442" w14:textId="77777777" w:rsidR="00E86416" w:rsidRDefault="00E86416" w:rsidP="00E8641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PIGNORATÍCIA</w:t>
      </w:r>
    </w:p>
    <w:p w14:paraId="15F7AB60" w14:textId="77777777" w:rsidR="00E86416" w:rsidRDefault="00E86416" w:rsidP="00E86416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fez empréstimo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da quantia de R$ (xxx) (Valor expresso), conforme contrato em anexo (doc. 2), com a garantia de penhor sobre o bem móvel (xxx) (Descrever o bem). Ficou estabelecido o pagamento do débito em (xxx) parcelas mensais e consecutivas, com as datas do vencimento em (xxx), com juros de (xxx)% ao mês.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Entretanto, o prazo de pagamento se esgotou 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não efetuou o pagamento, apesar de todas as notificações feitas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considerando-se, desta feita, a dívida vencida, nos termos do art. 1425, III, do Novo Código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O débito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conforme memória discriminada em anexo (doc. 3), atinge o valor de R$ (xxx) (Valor expresso), nisto incluído o principal e juros.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Assim, conforme disposição do Art. 1419, do Novo Código Civil, nas dívidas garantidas por penhor, anticrese ou hipoteca, o bem dado em garantia fica sujeito, por vínculo real, ao cumprimento da obrigação.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Ademais, consoante o Art. 1422 do diploma legal em apreço, o credor hipotecário e o pignoratício têm o direito de excutir a coisa hipotecada ou empenhada, e preferir, no pagamento, a outros credores, observada, quanto à hipoteca, a prioridade no registro.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Desta feita, plenamente cabível a presente execução, nos exatos termos do Art.585 do Código de Processo Civil e do Art.1422 acima referido.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citado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 que pague, no prazo de 24 horas a importância acima descrita, ou nomeie bens à penhora, consoante disposição do art. 652 do Código de Processo Civi, e caso não o faça, que lhe seja penhorado o bem dado em penhor, na observância do art. 594 do mesmo diploma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 - </w:t>
      </w:r>
      <w:r>
        <w:rPr>
          <w:rFonts w:ascii="Arial" w:hAnsi="Arial" w:cs="Arial"/>
          <w:color w:val="000000"/>
          <w:sz w:val="17"/>
          <w:szCs w:val="17"/>
        </w:rPr>
        <w:t>Atendendo ao art. 669 do Código de Processo Civil, uma vez feita a penhora, intime-se o devedor para embargar a execução no prazo de 10 (dez) dias.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o Requerido condenado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por todos os meios de provas admitidos em direito, em especial a documental, testemunhal e o depoimento pessoal do Requerido,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E864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F21D2" w14:textId="77777777" w:rsidR="002F0FA4" w:rsidRDefault="002F0FA4" w:rsidP="002F0FA4">
      <w:r>
        <w:separator/>
      </w:r>
    </w:p>
  </w:endnote>
  <w:endnote w:type="continuationSeparator" w:id="0">
    <w:p w14:paraId="36411504" w14:textId="77777777" w:rsidR="002F0FA4" w:rsidRDefault="002F0FA4" w:rsidP="002F0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BD17" w14:textId="77777777" w:rsidR="002F0FA4" w:rsidRDefault="002F0F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C063B" w14:textId="719E3D12" w:rsidR="002F0FA4" w:rsidRPr="002F0FA4" w:rsidRDefault="002F0FA4" w:rsidP="002F0FA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21AA0" w14:textId="77777777" w:rsidR="002F0FA4" w:rsidRDefault="002F0F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D2B2A" w14:textId="77777777" w:rsidR="002F0FA4" w:rsidRDefault="002F0FA4" w:rsidP="002F0FA4">
      <w:r>
        <w:separator/>
      </w:r>
    </w:p>
  </w:footnote>
  <w:footnote w:type="continuationSeparator" w:id="0">
    <w:p w14:paraId="4A402859" w14:textId="77777777" w:rsidR="002F0FA4" w:rsidRDefault="002F0FA4" w:rsidP="002F0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4FFFB" w14:textId="77777777" w:rsidR="002F0FA4" w:rsidRDefault="002F0F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07475" w14:textId="5D53C44A" w:rsidR="002F0FA4" w:rsidRPr="002F0FA4" w:rsidRDefault="002F0FA4" w:rsidP="002F0FA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5C635" w14:textId="77777777" w:rsidR="002F0FA4" w:rsidRDefault="002F0F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6416"/>
    <w:rsid w:val="002F0FA4"/>
    <w:rsid w:val="00E80809"/>
    <w:rsid w:val="00E8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DDE460"/>
  <w15:chartTrackingRefBased/>
  <w15:docId w15:val="{05690383-C6A3-4415-863E-1850258E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8641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F0F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F0FA4"/>
    <w:rPr>
      <w:sz w:val="24"/>
      <w:szCs w:val="24"/>
    </w:rPr>
  </w:style>
  <w:style w:type="paragraph" w:styleId="Rodap">
    <w:name w:val="footer"/>
    <w:basedOn w:val="Normal"/>
    <w:link w:val="RodapChar"/>
    <w:rsid w:val="002F0F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F0FA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9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EXECUÇÃO PIGNORATÍCIA ( Art 1422 do NCC) </vt:lpstr>
    </vt:vector>
  </TitlesOfParts>
  <Company>MicroHardware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EXECUÇÃO PIGNORATÍCIA ( Art 1422 do NCC) 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