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E6310" w14:textId="77777777" w:rsidR="00F140E6" w:rsidRDefault="00F140E6" w:rsidP="00F140E6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AGRAVO DE INSTRUMENTO (Art. 522 e ss.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3EEB41F7" w14:textId="77777777" w:rsidR="00F140E6" w:rsidRDefault="00F140E6" w:rsidP="00F140E6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EXCELENTÍSSIMO SENHOR DESEMBARGADOR DO EGRÉGIO TRIBUNAL DE JUSTIÇA (OU ALÇADA, TRIBUNAL REGIONAL FEDERAL, OUTROS) DO ESTADO DE (XXX)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 xml:space="preserve">Autos Nº: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NOME DO AGRAVANTE</w:t>
      </w:r>
      <w:r>
        <w:rPr>
          <w:rFonts w:ascii="Arial" w:hAnsi="Arial" w:cs="Arial"/>
          <w:color w:val="000000"/>
          <w:sz w:val="17"/>
          <w:szCs w:val="17"/>
        </w:rPr>
        <w:t xml:space="preserve"> (ou Autor, Demandante, Suplicante, Requerente), (Nacionalidade), (Profissão), (Estado Civil), portador da Carteira de Identidade nº (xxx), inscrito no CPF sob o nº (xxx), residente e domiciliado à Rua (xxx), nº (xxx), Bairro (xxx), Cidade (xxx), Cep. (xxx), no Estado de (xxx), por seu procurador infra-assinado, vem à presença dessa Colenda Turma, inconformado com a r. decisão de fls. nos autos da AÇÃO (XXX) que corre perante o d. juízo da comarca de (xxx), sob o nº (xxx), que move em face de NOME DO REQUERIDO, interpor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624E82CF" w14:textId="77777777" w:rsidR="00F140E6" w:rsidRDefault="00F140E6" w:rsidP="00F140E6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AGRAVO DE INSTRUMENTO</w:t>
      </w:r>
    </w:p>
    <w:p w14:paraId="78FD367B" w14:textId="77777777" w:rsidR="00F140E6" w:rsidRDefault="00F140E6" w:rsidP="00F140E6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pelas razões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Diz o artigo 522 e ss. do Código de Processo Civil: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"Art. 522. Das decisões interlocutórias caberá agravo, no prazo de 10 (dez) dias, na forma retida, salvo quando se tratar de decisão suscetível de causar à parte lesão grave e de difícil reparação, bem como nos casos de inadmissão da apelação e nos relativos aos efeitos em que a apelação é recebida, quando será admitida a sua interposição por instrumento.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Parágrafo único. O agravo retido independe de preparo."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"Art. 524. O agravo de instrumento será dirigido diretamente ao tribunal competente, através de petição com os seguintes requisitos: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 - a exposição do fato e do direito;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II - as razões do pedido de reforma da decisão;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III - o nome e o endereço completo dos advogados, constantes do processo."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 xml:space="preserve">"Art. </w:t>
      </w:r>
      <w:smartTag w:uri="urn:schemas-microsoft-com:office:smarttags" w:element="metricconverter">
        <w:smartTagPr>
          <w:attr w:name="ProductID" w:val="525. A"/>
        </w:smartTagPr>
        <w:r>
          <w:rPr>
            <w:rFonts w:ascii="Arial" w:hAnsi="Arial" w:cs="Arial"/>
            <w:i/>
            <w:iCs/>
            <w:color w:val="000000"/>
            <w:sz w:val="17"/>
            <w:szCs w:val="17"/>
          </w:rPr>
          <w:t>525. A</w:t>
        </w:r>
      </w:smartTag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petição de agravo de instrumento será instruída: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 - obrigatoriamente, com cópias da decisão agravada, da certidão da respectiva intimação e das procurações outorgadas aos advogados do agravante e do agravado;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II - facultativamente, com outras peças que o agravante entender úteis.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§ 1º Acompanhará a petição o comprovante do pagamento das respectivas custas e do porte do retorno, quando devidos, conforme tabela que será publicada pelos tribunais.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§ 2º No prazo do recurso, a petição será protocolada no tribunal, ou postada no correio sob registro com aviso de recebimento, ou, ainda, interposta por outra forma prevista na lei local."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A decisão agravada indeferiu a prova testemunhal tempestivamente requerida, com isso cerceando a defesa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Agravante</w:t>
      </w:r>
      <w:r>
        <w:rPr>
          <w:rFonts w:ascii="Arial" w:hAnsi="Arial" w:cs="Arial"/>
          <w:color w:val="000000"/>
          <w:sz w:val="17"/>
          <w:szCs w:val="17"/>
        </w:rPr>
        <w:t>, violentando a regra constitucional do respeito ao devido processo legal.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Decisões que tais, são repelidas pelos Tribunais, senão vejamos: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TRIBUNAL REGIONAL FEDERAL DA 3ª REGIÃO TRIBUNAL:</w:t>
      </w:r>
      <w:r>
        <w:rPr>
          <w:rFonts w:ascii="Arial" w:hAnsi="Arial" w:cs="Arial"/>
          <w:i/>
          <w:iCs/>
          <w:color w:val="000000"/>
          <w:sz w:val="17"/>
          <w:szCs w:val="17"/>
        </w:rPr>
        <w:t>TR3 ACÓRDÃO RIP.0 DATA DA DECISÃO: 06.12.1994 PROC:AC NÚMERO DO PROCESSO.3104840 ANO:93 UF:SP TURMA.2 REGIÃO.3 APELAÇÃO CÍVEL FONTE DE PUBLICAÇÃO: DJ DATA: 31.05.95 PÁG:33334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EMENTA: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DIREITO PROCESSUAL CIVIL. CERCEAMENTO A PRODUÇÃO PROBATÓRIA.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SUA CARACTERIZAÇÃO. SENTENÇA NULA DE PLENO DIREITO.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1.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NÃO MERECE SUBSISTIR A SENTENÇA PROFERIDA COM MANIFESTO CERCEAMENTO A PRODUÇÃO PROBATÓRIA.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2.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RECURSO A QUE SE DA PROVIMENTO, PARA SE ANULAR A SENTENÇA RECORRIDA. JUIZ RELATOR: SOUZA PIRES (INFORMA JURÍDICO VERSÃO 12 N.23.963 ).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lastRenderedPageBreak/>
        <w:t>TRIBUNAL DE JUSTIÇA DE GOIÁS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Terceira Câmara Cível RECURSO : Apelação Cível COMARCA: Goiânia NÚMERO : 33583.1.188 DATA: 21.06.94 PUBLICAÇÃO: DJ PÁGINA: 6 DATA: 19.07.94 PARTES: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APELANTE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: Cristina Peixoto Santa Cruz Oliveira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APELADO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: Banco Itaú S/A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EMENTA: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 DEFESA. CERCEAMENTO. TESTEMUNHAS ARROLADAS TEMPESTIVAMENTE. MANDADO DE INTIMAÇÃO NÃO EXPEDIDO. ATENDIMENTO ÀS ROTINAS DA CENTRAL DE MANDADOS. AGRESSÃO AO ARTIGO 407 DO CPC. NULIDADE DECLARADA. Constitui cerceamento do direito de defesa a não expedição de mandado para intimação de testemunhas tempestivamente arroladas, sob o fundamento de que a Central não recebe mandados cujo cumprimento deva ser em prazo exíguo, eis que a parte tem direito de depositar, em cartório, o rol de testemunhas até cinco dias imediatamente anteriores à data da audiência. Regulamento administrativo não pode revogar regra processual ".RELATOR: Des. Jamil Pereira de Macedo ( INFORMA JURÍDICO VERSÃO 12 N. 15.292 )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Ainda, como a audiência de instrução e julgamento está designada para data próxima, pede que, na forma do artigo 527 do Código de Processo Civil, seja atribuído efeito suspensivo ao recurso, para que a audiência não se realize antes do seu julgamento.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Pelo exposto, REQUER: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Que se conheça do agravo e que, ao final seja provido com o devido efeito suspensivo.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F140E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E7862" w14:textId="77777777" w:rsidR="008043BD" w:rsidRDefault="008043BD" w:rsidP="008043BD">
      <w:r>
        <w:separator/>
      </w:r>
    </w:p>
  </w:endnote>
  <w:endnote w:type="continuationSeparator" w:id="0">
    <w:p w14:paraId="714DA603" w14:textId="77777777" w:rsidR="008043BD" w:rsidRDefault="008043BD" w:rsidP="00804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3D30B" w14:textId="77777777" w:rsidR="008043BD" w:rsidRDefault="008043B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57C7C" w14:textId="190AB1F6" w:rsidR="008043BD" w:rsidRPr="008043BD" w:rsidRDefault="008043BD" w:rsidP="008043B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AE927" w14:textId="77777777" w:rsidR="008043BD" w:rsidRDefault="008043B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40AFE" w14:textId="77777777" w:rsidR="008043BD" w:rsidRDefault="008043BD" w:rsidP="008043BD">
      <w:r>
        <w:separator/>
      </w:r>
    </w:p>
  </w:footnote>
  <w:footnote w:type="continuationSeparator" w:id="0">
    <w:p w14:paraId="12EF4954" w14:textId="77777777" w:rsidR="008043BD" w:rsidRDefault="008043BD" w:rsidP="008043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53760" w14:textId="77777777" w:rsidR="008043BD" w:rsidRDefault="008043B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D721D" w14:textId="36ACAA36" w:rsidR="008043BD" w:rsidRPr="008043BD" w:rsidRDefault="008043BD" w:rsidP="008043B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6DA43" w14:textId="77777777" w:rsidR="008043BD" w:rsidRDefault="008043B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40E6"/>
    <w:rsid w:val="00587771"/>
    <w:rsid w:val="008043BD"/>
    <w:rsid w:val="00F14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5A9826D4"/>
  <w15:chartTrackingRefBased/>
  <w15:docId w15:val="{3BBA990C-831D-4A3E-A28C-483BED7DF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F140E6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8043B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8043BD"/>
    <w:rPr>
      <w:sz w:val="24"/>
      <w:szCs w:val="24"/>
    </w:rPr>
  </w:style>
  <w:style w:type="paragraph" w:styleId="Rodap">
    <w:name w:val="footer"/>
    <w:basedOn w:val="Normal"/>
    <w:link w:val="RodapChar"/>
    <w:rsid w:val="008043B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8043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4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701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AGRAVO DE INSTRUMENTO (Art</vt:lpstr>
    </vt:vector>
  </TitlesOfParts>
  <Company>MicroHardware</Company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AGRAVO DE INSTRUMENTO (Art</dc:title>
  <dc:subject/>
  <dc:creator>Jorge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2023-11-05T20:39:00Z</dcterms:modified>
</cp:coreProperties>
</file>