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B646FA" w14:textId="77777777" w:rsidR="007B0425" w:rsidRDefault="007B0425">
      <w:pPr>
        <w:widowControl/>
        <w:rPr>
          <w:lang w:val="en-US"/>
        </w:rPr>
      </w:pPr>
    </w:p>
    <w:p w14:paraId="4FCDBF8F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AGRAVO EM RECURSO ESPECIAL E EM RECURSO EXTRAORDINÁRIO - NOVO CPC</w:t>
      </w:r>
    </w:p>
    <w:p w14:paraId="233AA984" w14:textId="77777777" w:rsidR="007B0425" w:rsidRDefault="007B0425">
      <w:pPr>
        <w:widowControl/>
        <w:rPr>
          <w:lang w:val="en-US"/>
        </w:rPr>
      </w:pPr>
    </w:p>
    <w:p w14:paraId="1C85FB41" w14:textId="77777777" w:rsidR="007B0425" w:rsidRDefault="007B0425">
      <w:pPr>
        <w:widowControl/>
        <w:rPr>
          <w:lang w:val="en-US"/>
        </w:rPr>
      </w:pPr>
    </w:p>
    <w:p w14:paraId="5B04BF55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 xml:space="preserve">Exmo. Sr. Dr. Presidente (ou Vice-Presidente) (...) do Colendo (...) </w:t>
      </w:r>
    </w:p>
    <w:p w14:paraId="602D0E19" w14:textId="77777777" w:rsidR="007B0425" w:rsidRDefault="007B0425">
      <w:pPr>
        <w:widowControl/>
        <w:rPr>
          <w:lang w:val="en-US"/>
        </w:rPr>
      </w:pPr>
    </w:p>
    <w:p w14:paraId="3B82B657" w14:textId="77777777" w:rsidR="007B0425" w:rsidRDefault="007B0425">
      <w:pPr>
        <w:widowControl/>
        <w:rPr>
          <w:lang w:val="en-US"/>
        </w:rPr>
      </w:pPr>
    </w:p>
    <w:p w14:paraId="2099F89B" w14:textId="77777777" w:rsidR="007B0425" w:rsidRDefault="007B0425">
      <w:pPr>
        <w:widowControl/>
        <w:rPr>
          <w:lang w:val="en-US"/>
        </w:rPr>
      </w:pPr>
    </w:p>
    <w:p w14:paraId="4DE31359" w14:textId="77777777" w:rsidR="007B0425" w:rsidRDefault="007B0425">
      <w:pPr>
        <w:widowControl/>
        <w:rPr>
          <w:lang w:val="en-US"/>
        </w:rPr>
      </w:pPr>
    </w:p>
    <w:p w14:paraId="1B6A0A49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Autos: (...)</w:t>
      </w:r>
    </w:p>
    <w:p w14:paraId="4E195AE6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(...), por seus advogados subscritores, nos autos do recurso especial em epígrafe interposto por (...), vem, respeitosamente, perante Vossa Excelência, diante da r. decisão monocrática de fls. (...), interpor o presente</w:t>
      </w:r>
    </w:p>
    <w:p w14:paraId="3DC1153A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Agravo em Recurso Especial (ou Extraordinário)</w:t>
      </w:r>
    </w:p>
    <w:p w14:paraId="33582C96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o que faz com fundamento no artigo 1.042 do Código de Processo Civil e pelas razões a seguir aduzidas:</w:t>
      </w:r>
    </w:p>
    <w:p w14:paraId="58B33A27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I – Objeto deste recurso</w:t>
      </w:r>
    </w:p>
    <w:p w14:paraId="6ECAC4D4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É obter a reforma da r. decisão que não admitiu o Recurso Especial oportunamente interposto (fls... dos autos), aduzindo, para tanto, que o acórdão objeto do recurso interposto coincide com orientação da Corte Superior.</w:t>
      </w:r>
    </w:p>
    <w:p w14:paraId="73EDF0F9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Para tanto, invocou-se o precedente julgado nos termos do art. 1.036 do Código de Processo Civil, consubstanciado no seguinte aresto:</w:t>
      </w:r>
    </w:p>
    <w:p w14:paraId="0A427952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Superior Tribunal de Justiça. “Processo Civil. Recurso Repetitivo. Art. 543-c do CPC. Fraude de execução. Embargos de terceiro. Súmula n. 375/STJ. Citação válida. Necessidade. Ciência de demanda capaz de levar o alienante à insolvência. Prova. Ônus do credor. Registro da penhora. Art. 659, § 4º, do CPC [atual art. 844]. Presunção de fraude. Art. 615-A, § 3º [atual art. 828, § 4º], do CPC. 1. Para fins do art. 543-C do CPC [atual art. 1.036], firma-se a seguinte orientação: 1.1. É indispensável citação válida para configuração da fraude de execução, ressalvada a hipótese prevista no § 3º do art. 615-A do CPC [atual art. 828, § 4º]. 1.2. O reconhecimento da fraude de execução depende do registro da penhora do bem alienado ou da prova de má-fé do terceiro adquirente (Súmula n. 375/STJ). 1.3. A presunção de boa-fé é princípio geral de direito universalmente aceito, sendo milenar a parêmia: a boa-fé se presume; a má-fé se prova. 1.4. Inexistindo registro da penhora na matrícula do imóvel, é do credor o ônus da prova de que o terceiro adquirente tinha conhecimento de demanda capaz de levar o alienante à insolvência, sob pena de tornar-se letra morta o disposto no art. 659, § 4º, do CPC [atual art. 844]. 1.5. Conforme previsto no § 3º do art. 615-A do CPC [atual art. 828, § 4º], presume-se em fraude de execução a alienação ou oneração de bens realizada após a averbação referida no dispositivo. 2. Para a solução do caso concreto: 2.1. Aplicação da tese firmada. 2.2. Recurso especial provido para se anular o acórdão recorrido e a sentença e, consequentemente, determinar o prosseguimento do processo para a realização da instrução processual na forma requerida pelos recorrentes” (REsp 956.943/PR – Rel. Ministra Nancy Andrighi – Rel. p/ Acórdão Ministro João Otávio de Noronha – Corte Especial – julgado em 20.08.2014 – DJe 01.12.2014).</w:t>
      </w:r>
    </w:p>
    <w:p w14:paraId="3334F1D1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Nada obstante, a situação que se apresenta no vertente recurso é diversa daquela que embasou a decisão ora recorrida e, na verdade, se adequa ao precedente paradigma, mas em sentido totalmente inverso.</w:t>
      </w:r>
    </w:p>
    <w:p w14:paraId="112DAD27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 xml:space="preserve">Isto porque restou evidente, não havendo necessidade de prova ou revolvimento de matéria fática, mas simples análise daquilo que resta incontroverso nos autos, que o recorrido </w:t>
      </w:r>
      <w:r>
        <w:rPr>
          <w:lang w:val="en-US"/>
        </w:rPr>
        <w:lastRenderedPageBreak/>
        <w:t>adquiriu imóvel enquanto pendia execução em face do vendedor na mesma comarca em que ele, vendedor do imóvel, declarou domicílio.</w:t>
      </w:r>
    </w:p>
    <w:p w14:paraId="20587CEC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Nada obstante, o recorrido não extraiu as certidões de praxe, mediante as quais poderia facilmente constatar a existência da execução de onde se extrai o vertente recurso, agindo, assim, com evidente má-fé.</w:t>
      </w:r>
    </w:p>
    <w:p w14:paraId="7DBD35B5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 xml:space="preserve">II – Exposição do direito </w:t>
      </w:r>
    </w:p>
    <w:p w14:paraId="5EC267FF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De fato, a má-fé não se presume, mas, no caso concreto, decorre da incúria deliberada do recorrido que, repita-se, não extraiu as certidões de praxe que qualquer um providencia ao praticar o negócio jurídico que praticou.</w:t>
      </w:r>
    </w:p>
    <w:p w14:paraId="631C9C98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Pensar o contrário seria tornar letra morta o art.792 do Código de Processo Civil, segundo o qual:</w:t>
      </w:r>
    </w:p>
    <w:p w14:paraId="5BB04FD4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“Art. 792. A alienação ou a oneração de bem é considerada fraude à execução:</w:t>
      </w:r>
    </w:p>
    <w:p w14:paraId="15F36557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(...)</w:t>
      </w:r>
    </w:p>
    <w:p w14:paraId="35836E9B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IV – quando, ao tempo da alienação ou da oneração, tramitava contra o devedor ação capaz de reduzi-lo à insolvência;”</w:t>
      </w:r>
    </w:p>
    <w:p w14:paraId="0E370C66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Não subsistiria, igualmente, o art. 159 do Código Civil, no âmbito da fraude contra credores.</w:t>
      </w:r>
    </w:p>
    <w:p w14:paraId="70E36198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“Art. 159. Serão igualmente anuláveis os contratos onerosos do devedor insolvente, quando a insolvência for notória, ou houver motivo para ser conhecida do outro contratante.”</w:t>
      </w:r>
    </w:p>
    <w:p w14:paraId="5E23FB6E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Ou seja, não haveria mais fraude contra credores no direito brasileiro se houvesse anulabilidade do negócio apenas depois da averbação do gravame.</w:t>
      </w:r>
    </w:p>
    <w:p w14:paraId="25718481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Com todo respeito, a questão não é tão simples quanto parece.</w:t>
      </w:r>
    </w:p>
    <w:p w14:paraId="0EF4FEAA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Assim, mister se faz responder à seguinte indagação: posso adquirir tranquilamente um imóvel se não houver penhora, arresto, sequestro ou qualquer pendência registrada ou averbada na matrícula?</w:t>
      </w:r>
    </w:p>
    <w:p w14:paraId="67DA8344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Definitivamente não.</w:t>
      </w:r>
    </w:p>
    <w:p w14:paraId="44EABACB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A par de o art. 54 da Lei 13.097/2015 estabelecer a eficácia dos negócios jurídicos imobiliários sem que haja qualquer constrição ou gravame na matrícula, esta presunção, como já decorria do sistema consolidado na Súmula 375 do STJ, é rela-tiva.</w:t>
      </w:r>
    </w:p>
    <w:p w14:paraId="7C0CD795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Por outras palavras, evidentemente – e não haveria necessidade de Lei para isso – se houver registro ou averbação de gravame, a presunção de ineficácia da aquisição ou recebimento de direitos sobre o imóvel em face de ações reais, dívidas e restrições administrativas é absoluta, ou seja, não admitirá qualquer prova em sentido contrário.</w:t>
      </w:r>
    </w:p>
    <w:p w14:paraId="13B7672B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Todavia, se não houver o registro, não significa, automaticamente, que o adquirente está livre tanto da fraude contra credores quanto da fraude à execução.</w:t>
      </w:r>
    </w:p>
    <w:p w14:paraId="7DFD8FCB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Não havendo registro de qualquer pendência, a conclusão evidente, evidentíssima, aliás, é que o ônus da prova de conhecimento do gravame ou constrição se transfere para o credor ou prejudicado.</w:t>
      </w:r>
    </w:p>
    <w:p w14:paraId="03826146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Isto significa que se presume, de forma relativa, a higidez da transferência, modificação ou extinção do direito sobre o imóvel se não houver registro ou averbação do gravame ou constrição, mas não significa que não tenha havido fraude contra credores ou fraude à execução.</w:t>
      </w:r>
    </w:p>
    <w:p w14:paraId="3BDA7E17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Se não houver registro ou averbação de gravame, a eventual fraude será objeto de verificação, caso a caso, em razão da demonstração, pelo credor ou pelo prejudicado, da má-fé do adquirente.</w:t>
      </w:r>
    </w:p>
    <w:p w14:paraId="48241305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Essa é a conclusão que se extrai do parágrafo único do art. 54 da Lei 13.097/2015, segundo o qual “Não poderão ser opostas situações jurídicas não constantes da matrícula no Registro de Imóveis, inclusive para fins de evicção, ao terceiro de boa-fé que adquirir ou receber em garantia direitos reais sobre o imóvel, ressalvados o disposto nos art. 129 e art. 130 da Lei nº 11.101, de 09.02.2005, e as hipóteses de aquisição e extinção da propriedade que independam de registro de título de imóvel.”</w:t>
      </w:r>
    </w:p>
    <w:p w14:paraId="2AFA786A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lastRenderedPageBreak/>
        <w:t>Portanto, se – e percebam que o condicionante é importante – o adquirente estiver de boa-fé ao operar a aquisição ou o recebimento de garantia imobiliária, a ele não poderão ser opostas “situações jurídicas não constantes da matrícula”, ou seja, ações, penhoras, arrestos etc.</w:t>
      </w:r>
    </w:p>
    <w:p w14:paraId="65EA4CED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Contudo – e aí está a confusão – não significa que, não havendo o registro ou averbação de gravames ou constrições na matrícula, o sistema prestigie o negócio e beneficie o terceiro que haja procedido com má-fé.</w:t>
      </w:r>
    </w:p>
    <w:p w14:paraId="689618CE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Seria até absurdo pensar o contrário.</w:t>
      </w:r>
    </w:p>
    <w:p w14:paraId="61428893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Possível exemplificar: imagine-se alguém, como no vertente caso, que adquira i-móvel de pessoa que, a par de não ter, em face do seu imóvel, qualquer gravame re-gistrado ou averbado, responde por dívidas ajuizadas, possui títulos protestados e assim por diante na mesma comarca da situação do imóvel.</w:t>
      </w:r>
    </w:p>
    <w:p w14:paraId="507E6544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O adquirente poderá ser considerado “de boa fé” nessa situação?</w:t>
      </w:r>
    </w:p>
    <w:p w14:paraId="1BFFB0D4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Evidentemente que não, de tal sorte que haverá a fraude à execução em relação às ações já ajuizadas e a fraude contra credores em relação àquelas não ajuizadas, até em virtude da interpretação correta do parágrafo único, do art. 54, da Lei 13.097/2015.</w:t>
      </w:r>
    </w:p>
    <w:p w14:paraId="3B2F87AA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A única diferença é que, nesses casos – de ausência de registro ou averbação do gravame ou constrição – competirá ao credor demonstrar a má-fé do adquirente, o consilium fraudis, posto que em favor do adquirente do imóvel ou do recebedor da garantia consistente em imóvel militará a presunção – relativa – de boa-fé.</w:t>
      </w:r>
    </w:p>
    <w:p w14:paraId="297445A6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Contudo, sem extrair as certidões de praxe, a má-fé aflora e, a par de não haver qualquer constrição na matrícula, o negócio jurídico praticado será ineficaz perante ação ou execução já aforada, que tenham o condão de reduzir o alienante à insolvência; poderá ser anulada em razão da fraude contra credores no caso de dívidas ainda não ajuizadas através da ação pauliana ou revocatória; ou, será anulada nos casos de falsificações de documentos do titular do imóvel.</w:t>
      </w:r>
    </w:p>
    <w:p w14:paraId="6CA0B051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Pensar diferente seria premiar a má-fé, o que, definitivamente não decorre do sistema.</w:t>
      </w:r>
    </w:p>
    <w:p w14:paraId="6B990A69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 xml:space="preserve">De acordo com a Súmula 375/STJ: “O reconhecimento da fraude à execução de-pende do registro da penhora do bem alienado ou da prova de má-fé do terceiro adquirente”. </w:t>
      </w:r>
    </w:p>
    <w:p w14:paraId="69314911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O que isso quer dizer?</w:t>
      </w:r>
    </w:p>
    <w:p w14:paraId="22CCF2CF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Quer dizer exatamente aquilo que foi incorporado, com uma linguagem confusa, pela Medida Provisória 656/2014 e pela Lei 13.097/2015, ou seja, que não havendo registro na matrícula, de qualquer gravame, ao credor incumbe a prova que o adquirente agiu de má-fé.</w:t>
      </w:r>
    </w:p>
    <w:p w14:paraId="2B8BBCAD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E essa prova pode consistir apenas na constatação que decorre da ausência do oferecimento das certidões de praxe na comarca do imóvel, quando facilmente, por tais documentos, poderia o adquirente verificar a insolvência do alienante ou a dívida.</w:t>
      </w:r>
    </w:p>
    <w:p w14:paraId="2AD20BA5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III – Pedido</w:t>
      </w:r>
    </w:p>
    <w:p w14:paraId="571587C4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Pede-se e espera-se que essa Eg. Presidência, em razão do exposto, i.e., da admissibilidade e procedência do Recurso Especial, ordene o processamento e remessa deste agravo ao Egrégio Superior Tribunal de Justiça para que seja conhecido pelo D. Relator designado e por ele dado provimento ao recurso.</w:t>
      </w:r>
    </w:p>
    <w:p w14:paraId="70064756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IV – Requerimento</w:t>
      </w:r>
    </w:p>
    <w:p w14:paraId="3BEBA5FA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Isto posto, serve a presente para requerer a V. Excelência que, protocolada esta petição na Secretaria desse Eg. Tribunal, intime-se a agravada para responder, querendo, no prazo de 15 dias, sendo que, ao depois sejam os autos remetidos ao Egrégio Superior Tribunal de Justiça para conhecimento e provimento nos exatos termos do art. 1.042, § 5º, do CPC, cumpridas as necessárias formalidades legais.</w:t>
      </w:r>
    </w:p>
    <w:p w14:paraId="5A4B4BD9" w14:textId="77777777" w:rsidR="007B0425" w:rsidRDefault="007B0425">
      <w:pPr>
        <w:widowControl/>
        <w:rPr>
          <w:lang w:val="en-US"/>
        </w:rPr>
      </w:pPr>
    </w:p>
    <w:p w14:paraId="15A9B07B" w14:textId="77777777" w:rsidR="007B0425" w:rsidRDefault="007B0425">
      <w:pPr>
        <w:widowControl/>
        <w:rPr>
          <w:lang w:val="en-US"/>
        </w:rPr>
      </w:pPr>
    </w:p>
    <w:p w14:paraId="29E420B2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FC7277A" w14:textId="77777777" w:rsidR="007B0425" w:rsidRDefault="007B0425">
      <w:pPr>
        <w:widowControl/>
        <w:rPr>
          <w:lang w:val="en-US"/>
        </w:rPr>
      </w:pPr>
    </w:p>
    <w:p w14:paraId="064252DC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397165BD" w14:textId="77777777" w:rsidR="007B0425" w:rsidRDefault="007B0425">
      <w:pPr>
        <w:widowControl/>
        <w:rPr>
          <w:lang w:val="en-US"/>
        </w:rPr>
      </w:pPr>
    </w:p>
    <w:p w14:paraId="4E58D6C1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413394D0" w14:textId="77777777" w:rsidR="007B0425" w:rsidRDefault="007B0425">
      <w:pPr>
        <w:widowControl/>
        <w:rPr>
          <w:lang w:val="en-US"/>
        </w:rPr>
      </w:pPr>
    </w:p>
    <w:p w14:paraId="72E0BC36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32A15CDA" w14:textId="77777777" w:rsidR="007B0425" w:rsidRDefault="007B0425">
      <w:pPr>
        <w:widowControl/>
        <w:rPr>
          <w:lang w:val="en-US"/>
        </w:rPr>
      </w:pPr>
    </w:p>
    <w:p w14:paraId="7373ED23" w14:textId="77777777" w:rsidR="007B0425" w:rsidRDefault="007B0425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415D3EAB" w14:textId="77777777" w:rsidR="007B0425" w:rsidRDefault="007B0425">
      <w:pPr>
        <w:widowControl/>
        <w:rPr>
          <w:lang w:val="en-US"/>
        </w:rPr>
      </w:pPr>
    </w:p>
    <w:sectPr w:rsidR="007B042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AA28BE" w14:textId="77777777" w:rsidR="00BA6A00" w:rsidRDefault="00BA6A00" w:rsidP="00BA6A00">
      <w:r>
        <w:separator/>
      </w:r>
    </w:p>
  </w:endnote>
  <w:endnote w:type="continuationSeparator" w:id="0">
    <w:p w14:paraId="7BC9D40D" w14:textId="77777777" w:rsidR="00BA6A00" w:rsidRDefault="00BA6A00" w:rsidP="00BA6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BB78A" w14:textId="77777777" w:rsidR="00BA6A00" w:rsidRDefault="00BA6A0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C8827" w14:textId="725961D5" w:rsidR="00BA6A00" w:rsidRPr="00BA6A00" w:rsidRDefault="00BA6A00" w:rsidP="00BA6A00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E433A" w14:textId="77777777" w:rsidR="00BA6A00" w:rsidRDefault="00BA6A0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C0C5E8" w14:textId="77777777" w:rsidR="00BA6A00" w:rsidRDefault="00BA6A00" w:rsidP="00BA6A00">
      <w:r>
        <w:separator/>
      </w:r>
    </w:p>
  </w:footnote>
  <w:footnote w:type="continuationSeparator" w:id="0">
    <w:p w14:paraId="5C20AF68" w14:textId="77777777" w:rsidR="00BA6A00" w:rsidRDefault="00BA6A00" w:rsidP="00BA6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CAB0BF" w14:textId="77777777" w:rsidR="00BA6A00" w:rsidRDefault="00BA6A0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1824FC" w14:textId="688C8864" w:rsidR="00BA6A00" w:rsidRPr="00BA6A00" w:rsidRDefault="00BA6A00" w:rsidP="00BA6A00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92AF9B" w14:textId="77777777" w:rsidR="00BA6A00" w:rsidRDefault="00BA6A0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7B0425"/>
    <w:rsid w:val="007B0425"/>
    <w:rsid w:val="00BA6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B06DFA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BA6A0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A6A00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BA6A0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A6A00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1590</Words>
  <Characters>8590</Characters>
  <Application>Microsoft Office Word</Application>
  <DocSecurity>0</DocSecurity>
  <Lines>71</Lines>
  <Paragraphs>20</Paragraphs>
  <ScaleCrop>false</ScaleCrop>
  <Company/>
  <LinksUpToDate>false</LinksUpToDate>
  <CharactersWithSpaces>10160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2023-11-05T16:16:00Z</dcterms:created>
  <dcterms:modified xsi:type="dcterms:W3CDTF">2023-11-05T20:39:00Z</dcterms:modified>
</cp:coreProperties>
</file>