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D950F" w14:textId="77777777" w:rsidR="00663478" w:rsidRDefault="00663478">
      <w:pPr>
        <w:widowControl/>
        <w:rPr>
          <w:lang w:val="en-US"/>
        </w:rPr>
      </w:pPr>
    </w:p>
    <w:p w14:paraId="34EC2A54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AGRAVO INTERNO - DE DECISÃO MONOCRÁTICA QUE DÁ PROVIMENTO AO RECURSO ESPECIAL - NOVO CPC</w:t>
      </w:r>
    </w:p>
    <w:p w14:paraId="6320B619" w14:textId="77777777" w:rsidR="00663478" w:rsidRDefault="00663478">
      <w:pPr>
        <w:widowControl/>
        <w:rPr>
          <w:lang w:val="en-US"/>
        </w:rPr>
      </w:pPr>
    </w:p>
    <w:p w14:paraId="78F6D843" w14:textId="77777777" w:rsidR="00663478" w:rsidRDefault="00663478">
      <w:pPr>
        <w:widowControl/>
        <w:rPr>
          <w:lang w:val="en-US"/>
        </w:rPr>
      </w:pPr>
    </w:p>
    <w:p w14:paraId="30D373DC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Exmo. Sr. Dr. Ministro Relator (...) da (...) Turma do Colendo Superior Tribunal de Justiça</w:t>
      </w:r>
    </w:p>
    <w:p w14:paraId="3B107997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Autos: REsp n. (...)</w:t>
      </w:r>
    </w:p>
    <w:p w14:paraId="02157851" w14:textId="77777777" w:rsidR="00663478" w:rsidRDefault="00663478">
      <w:pPr>
        <w:widowControl/>
        <w:rPr>
          <w:lang w:val="en-US"/>
        </w:rPr>
      </w:pPr>
    </w:p>
    <w:p w14:paraId="0CB56278" w14:textId="77777777" w:rsidR="00663478" w:rsidRDefault="00663478">
      <w:pPr>
        <w:widowControl/>
        <w:rPr>
          <w:lang w:val="en-US"/>
        </w:rPr>
      </w:pPr>
    </w:p>
    <w:p w14:paraId="258F3B10" w14:textId="77777777" w:rsidR="00663478" w:rsidRDefault="00663478">
      <w:pPr>
        <w:widowControl/>
        <w:rPr>
          <w:lang w:val="en-US"/>
        </w:rPr>
      </w:pPr>
    </w:p>
    <w:p w14:paraId="02D99864" w14:textId="77777777" w:rsidR="00663478" w:rsidRDefault="00663478">
      <w:pPr>
        <w:widowControl/>
        <w:rPr>
          <w:lang w:val="en-US"/>
        </w:rPr>
      </w:pPr>
    </w:p>
    <w:p w14:paraId="70B7F8C6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(...), por seus advogados subscritores, nos autos do recurso especial em epígrafe interposto por (...), vem, respeitosamente, perante Vossa Excelência, diante da r. decisão monocrática de fls. (...), interpor o presente</w:t>
      </w:r>
    </w:p>
    <w:p w14:paraId="5CCFAE37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Agravo interno,</w:t>
      </w:r>
    </w:p>
    <w:p w14:paraId="265B6AE5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o que faz com fundamento nos artigos 258 e 259 do Regimento Interno deste E. Superior Tribunal de Justiça, 1.021 e seguintes do Código de Processo Civil e pelas razões a seguir aduzidas:</w:t>
      </w:r>
    </w:p>
    <w:p w14:paraId="1C2090C9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A ação da qual foi extraído o presente recurso se resume a ação de execução de título extrajudicial promovida pela recorrente em face do ora agravado e sua ex-esposa, tendo, anos após sua citação, bloqueado de sua conta corrente vinculada a poupança – o que não é poupança propriamente dita – o montante de (...) (e-STJ fl....) por decisão copiada a e-STJ fl. ...</w:t>
      </w:r>
    </w:p>
    <w:p w14:paraId="285F2E56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O D. Juízo de 1º Grau proferiu decisão não acolhendo da impugnação do agravado (e-STF fls.., respectivamente), tendo ele apresentado o agravo de instrumento que origina este Recurso Especial.</w:t>
      </w:r>
    </w:p>
    <w:p w14:paraId="66815F5F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O agravo foi improvido pelo Tribunal Paulista tendo em vista que o ora agravado não logrou êxito em comprovar a impenhorabilidade de algo que não se presta a sua sobrevivência, tampouco a aplicabilidade do dispositivo legal questionado (art. 833, inc. X, do CPC), pois se constatou que a conta do agravado se trata de uma conta fácil do Banco (...), modalidade que integra conta corrente e conta poupança sob o mesmo número, constituindo uma forma de remuneração em conta corrente (e-STF fls...).</w:t>
      </w:r>
    </w:p>
    <w:p w14:paraId="0C34C051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As provas levadas aos autos do agravo instrumental de origem foram analisadas pelo E. TJSP.</w:t>
      </w:r>
    </w:p>
    <w:p w14:paraId="5EC2A01E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Inconformado, o agravado interpôs o presente Recurso Especial buscando reexame de matéria fático-probatória, pois revolve provas dos autos e confronta a premissa fática estabelecida pelo E. TJSP para modificar penhora estabelecida pela instância ordinária, em flagrante contrariedade ao entendimento deste Excelso Tribunal, notadamente a Súmula de n. 7 desta Corte: “A pretensão de simples reexame de prova não enseja recurso especial”.</w:t>
      </w:r>
    </w:p>
    <w:p w14:paraId="6B857DAE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O dispositivo legal questionado nada menciona sobre contas correntes com rendimentos de poupança:</w:t>
      </w:r>
    </w:p>
    <w:p w14:paraId="7B3373CB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CPC, Art. 833. São impenhoráveis:</w:t>
      </w:r>
    </w:p>
    <w:p w14:paraId="7FEE2F0C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X – a quantia depositada em caderneta de poupança, até o limite de 40 (quarenta) salários mínimos.</w:t>
      </w:r>
    </w:p>
    <w:p w14:paraId="6F8FECBF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Neste diapasão, o entendimento da jurisprudência bandeirante é enfático:</w:t>
      </w:r>
    </w:p>
    <w:p w14:paraId="7F7A524B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 xml:space="preserve">Tribunal de Justiça de São Paulo. “Execução. Penhora. Conta poupança integrada à conta-corrente. Inaplicabilidade do artigo 649, X do CPC [atual art. 833, X]. Impugnação rejeitada. Agravo improvido. A proteção legal que assegura a impenhorabilidade limitada a quarenta salários mínimos em caderneta de poupança não alcança a hipótese de conta integrada (corrente e poupança). Na verdade, ela não constitui verdadeira caderneta de </w:t>
      </w:r>
      <w:r>
        <w:rPr>
          <w:lang w:val="en-US"/>
        </w:rPr>
        <w:lastRenderedPageBreak/>
        <w:t>poupança, mas simples forma de remuneração dos depósitos em conta-corrente, assegurando imediata disponibilidade na medida de sua utilização pelo respectivo titular” (1241285007 – Agravo de Instrumento – Relator(a): Antonio Rigolin – Comarca: Bauru – Órgão julgador: 31ª Câmara de Direito Privado – Data do julgamento: 03.02.2009 – Data de registro: 19.02.2009 – cumprimento de sentença).</w:t>
      </w:r>
    </w:p>
    <w:p w14:paraId="12B411A4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Nada obstante, a exegese da impenhorabilidade prevista no aludido dispositivo é a de garantir ao executado a existência de meios de subsistência mesmo em caso de vir a ter seus bens constritos para satisfação de dívida exequenda, e não importâncias mantidas a fim de produzir renda enquanto não empregadas.</w:t>
      </w:r>
    </w:p>
    <w:p w14:paraId="211586F0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No caso em tela, ao dar interpretação extensiva ao referido texto legal, afasta-se o bloqueio de valores mantidos e favorecendo uma parte não necessariamente desigual, que se vale de todos os expedientes possíveis e imagináveis, para furtar-se ao cumprimento de suas obrigações.</w:t>
      </w:r>
    </w:p>
    <w:p w14:paraId="51E66E2B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Destarte, entende também o E. TJSP:</w:t>
      </w:r>
    </w:p>
    <w:p w14:paraId="101D3E51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Tribunal de Justiça de São Paulo.  “Ação Monitoria – Em fase de execução – Penhora online – Impugnação – Alegação de que os valores bloqueados têm caráter alimentar – Indeferimento – Ausência de comprovação do alegado – Inaplicabilidade do artigo 649, incisos IV e X, do CPC [atual art. 833, IV e X]- Decisão mantida – Recurso improvido” (0150428-14.2011.8.26.0000 – Agravo de Instrumento – Relator(a): Mario de Oliveira – Comarca: São Paulo – Órgão julgador: 19ª Câmara de Direito Privado – Data do julgamento: 15.08.2011 – Data de registro: 28.09.2011 – Outros números: 01504281420118260000).</w:t>
      </w:r>
    </w:p>
    <w:p w14:paraId="4CEC62F8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Quanto à diferenciação entre caderneta de poupança e conta-corrente com rendimentos de poupança, a doutrina é clara: nesta, existe a remuneração mensal conjugada com a possibilidade de ordens de pagamento por parte do correntista (Danilo Silva Bittar. Repensando a impenhorabilidade da conta-poupança. Repertório IOB de jurisprudência: civil, processual, penal e comercial, n. 11, p. 395-389, 1º quinz. jun. 2012), ao passo que naquela, o cliente entrega quantia pecuniária à instituição financeira, que adquire sua propriedade e resta obrigada a restituí-la quando lhe for exigida, havendo remuneração do período de sua permanência (Fábio Ulhoa Coelho, Manual de direito comercial. 18. ed. rev. e atual. 2007, p. 450).</w:t>
      </w:r>
    </w:p>
    <w:p w14:paraId="239DB11E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Isto posto, o recurso especial é manifestamente contrário ao art. 833, X do CPC, seja pela busca inadmissível de reexame de matéria fático-probatória (Súmula 7 do E. STJ), seja pela legalidade da decisão de primeira instância, razão pela qual requer-se ao Nobre Ministro Relator a reconsideração da r. Decisão monocrática, com fulcro no art. 259 do Regimente Interno deste Superior Tribunal de Justiça, para o fim de negá-lo provimento.</w:t>
      </w:r>
    </w:p>
    <w:p w14:paraId="73A08A63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 xml:space="preserve">Caso não seja este o entendimento de Vossa Excelência, requer seja o vertente agravo regimental remetido à Colenda (...) Turma deste Excelso Tribunal ao qual se requer o provimento para que seja reformada a decisão monocrática e, ao final, negado provimento ao Recurso Especial interposto (art. 259, caput, RISTJ). </w:t>
      </w:r>
    </w:p>
    <w:p w14:paraId="70E9E489" w14:textId="77777777" w:rsidR="00663478" w:rsidRDefault="00663478">
      <w:pPr>
        <w:widowControl/>
        <w:rPr>
          <w:lang w:val="en-US"/>
        </w:rPr>
      </w:pPr>
    </w:p>
    <w:p w14:paraId="57F13D40" w14:textId="77777777" w:rsidR="00663478" w:rsidRDefault="00663478">
      <w:pPr>
        <w:widowControl/>
        <w:rPr>
          <w:lang w:val="en-US"/>
        </w:rPr>
      </w:pPr>
    </w:p>
    <w:p w14:paraId="5CC7A63A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240E113" w14:textId="77777777" w:rsidR="00663478" w:rsidRDefault="00663478">
      <w:pPr>
        <w:widowControl/>
        <w:rPr>
          <w:lang w:val="en-US"/>
        </w:rPr>
      </w:pPr>
    </w:p>
    <w:p w14:paraId="3E078638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1B4F6F9" w14:textId="77777777" w:rsidR="00663478" w:rsidRDefault="00663478">
      <w:pPr>
        <w:widowControl/>
        <w:rPr>
          <w:lang w:val="en-US"/>
        </w:rPr>
      </w:pPr>
    </w:p>
    <w:p w14:paraId="5673861F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8ED4109" w14:textId="77777777" w:rsidR="00663478" w:rsidRDefault="00663478">
      <w:pPr>
        <w:widowControl/>
        <w:rPr>
          <w:lang w:val="en-US"/>
        </w:rPr>
      </w:pPr>
    </w:p>
    <w:p w14:paraId="30E4ADB8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FE92F34" w14:textId="77777777" w:rsidR="00663478" w:rsidRDefault="00663478">
      <w:pPr>
        <w:widowControl/>
        <w:rPr>
          <w:lang w:val="en-US"/>
        </w:rPr>
      </w:pPr>
    </w:p>
    <w:p w14:paraId="3FC4C30B" w14:textId="77777777" w:rsidR="00663478" w:rsidRDefault="0066347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A7B5F13" w14:textId="77777777" w:rsidR="00663478" w:rsidRDefault="00663478">
      <w:pPr>
        <w:widowControl/>
        <w:rPr>
          <w:lang w:val="en-US"/>
        </w:rPr>
      </w:pPr>
    </w:p>
    <w:sectPr w:rsidR="006634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1049F" w14:textId="77777777" w:rsidR="00E03305" w:rsidRDefault="00E03305" w:rsidP="00E03305">
      <w:r>
        <w:separator/>
      </w:r>
    </w:p>
  </w:endnote>
  <w:endnote w:type="continuationSeparator" w:id="0">
    <w:p w14:paraId="422C5EBC" w14:textId="77777777" w:rsidR="00E03305" w:rsidRDefault="00E03305" w:rsidP="00E03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356E8" w14:textId="77777777" w:rsidR="00E03305" w:rsidRDefault="00E033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ECA81" w14:textId="7AA361CA" w:rsidR="00E03305" w:rsidRPr="00E03305" w:rsidRDefault="00E03305" w:rsidP="00E0330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FF23A" w14:textId="77777777" w:rsidR="00E03305" w:rsidRDefault="00E033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6A480" w14:textId="77777777" w:rsidR="00E03305" w:rsidRDefault="00E03305" w:rsidP="00E03305">
      <w:r>
        <w:separator/>
      </w:r>
    </w:p>
  </w:footnote>
  <w:footnote w:type="continuationSeparator" w:id="0">
    <w:p w14:paraId="3153532E" w14:textId="77777777" w:rsidR="00E03305" w:rsidRDefault="00E03305" w:rsidP="00E03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B0E74" w14:textId="77777777" w:rsidR="00E03305" w:rsidRDefault="00E033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6D0B" w14:textId="27F84608" w:rsidR="00E03305" w:rsidRPr="00E03305" w:rsidRDefault="00E03305" w:rsidP="00E0330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BE23C" w14:textId="77777777" w:rsidR="00E03305" w:rsidRDefault="00E0330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63478"/>
    <w:rsid w:val="00663478"/>
    <w:rsid w:val="00E0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338D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033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330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033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330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