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678AB" w14:textId="77777777" w:rsidR="002B6D61" w:rsidRDefault="002B6D61" w:rsidP="002B6D61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EXCELENTÍSSIMO SENHOR DOUTOR JUIZ DE DIREITO DA ____ ª VARA CÍVEL DA COMARCA DE XXXXXXXXX ESTADO DO XXXXXXXX.</w:t>
      </w:r>
    </w:p>
    <w:p w14:paraId="11A03F72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AEADB0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4A1866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96C444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F43BEB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AB90B2" w14:textId="77777777" w:rsidR="00F12B03" w:rsidRPr="002B6D61" w:rsidRDefault="002B6D61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pt"/>
        </w:rPr>
        <w:t>Autos nº: 0000000-00.2018.0.00.0000</w:t>
      </w:r>
    </w:p>
    <w:p w14:paraId="36DACCEA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F3F518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6D61">
        <w:rPr>
          <w:rFonts w:ascii="Arial" w:hAnsi="Arial" w:cs="Arial"/>
          <w:sz w:val="24"/>
          <w:szCs w:val="24"/>
        </w:rPr>
        <w:tab/>
      </w:r>
      <w:r w:rsidRPr="002B6D61">
        <w:rPr>
          <w:rFonts w:ascii="Arial" w:hAnsi="Arial" w:cs="Arial"/>
          <w:sz w:val="24"/>
          <w:szCs w:val="24"/>
        </w:rPr>
        <w:tab/>
      </w:r>
    </w:p>
    <w:p w14:paraId="640E4327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331A2C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6D61">
        <w:rPr>
          <w:rFonts w:ascii="Arial" w:hAnsi="Arial" w:cs="Arial"/>
          <w:sz w:val="24"/>
          <w:szCs w:val="24"/>
        </w:rPr>
        <w:tab/>
      </w:r>
      <w:r w:rsidRPr="002B6D61">
        <w:rPr>
          <w:rFonts w:ascii="Arial" w:hAnsi="Arial" w:cs="Arial"/>
          <w:sz w:val="24"/>
          <w:szCs w:val="24"/>
        </w:rPr>
        <w:tab/>
      </w:r>
      <w:r w:rsidR="002B6D61">
        <w:rPr>
          <w:rFonts w:ascii="Arial" w:hAnsi="Arial" w:cs="Arial"/>
          <w:b/>
          <w:sz w:val="24"/>
          <w:szCs w:val="24"/>
        </w:rPr>
        <w:t>FULANO DE TAL,</w:t>
      </w:r>
      <w:r w:rsidRPr="002B6D61">
        <w:rPr>
          <w:rFonts w:ascii="Arial" w:hAnsi="Arial" w:cs="Arial"/>
          <w:sz w:val="24"/>
          <w:szCs w:val="24"/>
        </w:rPr>
        <w:t xml:space="preserve"> já qualificad</w:t>
      </w:r>
      <w:r w:rsidR="00821D15" w:rsidRPr="002B6D61">
        <w:rPr>
          <w:rFonts w:ascii="Arial" w:hAnsi="Arial" w:cs="Arial"/>
          <w:sz w:val="24"/>
          <w:szCs w:val="24"/>
        </w:rPr>
        <w:t>o (</w:t>
      </w:r>
      <w:r w:rsidRPr="002B6D61">
        <w:rPr>
          <w:rFonts w:ascii="Arial" w:hAnsi="Arial" w:cs="Arial"/>
          <w:sz w:val="24"/>
          <w:szCs w:val="24"/>
        </w:rPr>
        <w:t>a</w:t>
      </w:r>
      <w:r w:rsidR="00821D15" w:rsidRPr="002B6D61">
        <w:rPr>
          <w:rFonts w:ascii="Arial" w:hAnsi="Arial" w:cs="Arial"/>
          <w:sz w:val="24"/>
          <w:szCs w:val="24"/>
        </w:rPr>
        <w:t>)</w:t>
      </w:r>
      <w:r w:rsidRPr="002B6D61">
        <w:rPr>
          <w:rFonts w:ascii="Arial" w:hAnsi="Arial" w:cs="Arial"/>
          <w:sz w:val="24"/>
          <w:szCs w:val="24"/>
        </w:rPr>
        <w:t xml:space="preserve"> nos autos da </w:t>
      </w:r>
      <w:r w:rsidR="00821D15" w:rsidRPr="002B6D61">
        <w:rPr>
          <w:rFonts w:ascii="Arial" w:hAnsi="Arial" w:cs="Arial"/>
          <w:sz w:val="24"/>
          <w:szCs w:val="24"/>
        </w:rPr>
        <w:t>A</w:t>
      </w:r>
      <w:r w:rsidRPr="002B6D61">
        <w:rPr>
          <w:rFonts w:ascii="Arial" w:hAnsi="Arial" w:cs="Arial"/>
          <w:sz w:val="24"/>
          <w:szCs w:val="24"/>
        </w:rPr>
        <w:t xml:space="preserve">ção de </w:t>
      </w:r>
      <w:r w:rsidR="00821D15" w:rsidRPr="002B6D61">
        <w:rPr>
          <w:rFonts w:ascii="Arial" w:hAnsi="Arial" w:cs="Arial"/>
          <w:sz w:val="24"/>
          <w:szCs w:val="24"/>
        </w:rPr>
        <w:t>C</w:t>
      </w:r>
      <w:r w:rsidRPr="002B6D61">
        <w:rPr>
          <w:rFonts w:ascii="Arial" w:hAnsi="Arial" w:cs="Arial"/>
          <w:sz w:val="24"/>
          <w:szCs w:val="24"/>
        </w:rPr>
        <w:t xml:space="preserve">obrança, que lhe move o CONDOMINIO DO EDIFICIO </w:t>
      </w:r>
      <w:r w:rsidR="00821D15" w:rsidRPr="002B6D61">
        <w:rPr>
          <w:rFonts w:ascii="Arial" w:hAnsi="Arial" w:cs="Arial"/>
          <w:sz w:val="24"/>
          <w:szCs w:val="24"/>
        </w:rPr>
        <w:t xml:space="preserve">....... </w:t>
      </w:r>
      <w:r w:rsidRPr="002B6D61">
        <w:rPr>
          <w:rFonts w:ascii="Arial" w:hAnsi="Arial" w:cs="Arial"/>
          <w:sz w:val="24"/>
          <w:szCs w:val="24"/>
        </w:rPr>
        <w:t xml:space="preserve">Data vênia, inconformada com a respeitável sentença que julgou procedente o pedido autoral, vem a V. Exa., por seu advogado abaixo assinado, interpor o presente </w:t>
      </w:r>
      <w:r w:rsidRPr="002B6D61">
        <w:rPr>
          <w:rFonts w:ascii="Arial" w:hAnsi="Arial" w:cs="Arial"/>
          <w:b/>
          <w:color w:val="000000"/>
          <w:sz w:val="24"/>
          <w:szCs w:val="24"/>
          <w:u w:val="single"/>
        </w:rPr>
        <w:t>RECURSO DE APELAÇÃO</w:t>
      </w:r>
      <w:r w:rsidRPr="002B6D61">
        <w:rPr>
          <w:rFonts w:ascii="Arial" w:hAnsi="Arial" w:cs="Arial"/>
          <w:sz w:val="24"/>
          <w:szCs w:val="24"/>
        </w:rPr>
        <w:t xml:space="preserve"> para uma das Câmaras do Egrégio Tribunal de Justiça, na conformidade das razões que abaixo se seguem.</w:t>
      </w:r>
    </w:p>
    <w:p w14:paraId="4D7FBCC9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7A4AB4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6D61">
        <w:rPr>
          <w:rFonts w:ascii="Arial" w:hAnsi="Arial" w:cs="Arial"/>
          <w:sz w:val="24"/>
          <w:szCs w:val="24"/>
        </w:rPr>
        <w:tab/>
      </w:r>
      <w:r w:rsidRPr="002B6D61">
        <w:rPr>
          <w:rFonts w:ascii="Arial" w:hAnsi="Arial" w:cs="Arial"/>
          <w:sz w:val="24"/>
          <w:szCs w:val="24"/>
        </w:rPr>
        <w:tab/>
        <w:t>Assim requer a V. Exa., seja a presente apelação recebida nos seus efeitos legais e encaminhada à Superior Instância, após o cumprimento das formalidades processuais.</w:t>
      </w:r>
    </w:p>
    <w:p w14:paraId="4690B382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434D15" w14:textId="77777777" w:rsidR="00F12B03" w:rsidRPr="002B6D61" w:rsidRDefault="002B6D61" w:rsidP="002B6D61">
      <w:pPr>
        <w:pStyle w:val="Ttulo1"/>
        <w:spacing w:line="360" w:lineRule="auto"/>
        <w:jc w:val="left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ab/>
      </w:r>
      <w:r>
        <w:rPr>
          <w:rFonts w:ascii="Arial" w:hAnsi="Arial" w:cs="Arial"/>
          <w:b/>
          <w:sz w:val="24"/>
          <w:szCs w:val="24"/>
          <w:lang w:val="pt-BR"/>
        </w:rPr>
        <w:tab/>
      </w:r>
      <w:r w:rsidR="00F12B03" w:rsidRPr="002B6D61">
        <w:rPr>
          <w:rFonts w:ascii="Arial" w:hAnsi="Arial" w:cs="Arial"/>
          <w:b/>
          <w:sz w:val="24"/>
          <w:szCs w:val="24"/>
          <w:lang w:val="pt-BR"/>
        </w:rPr>
        <w:t>N</w:t>
      </w:r>
      <w:r w:rsidR="00821D15" w:rsidRPr="002B6D61">
        <w:rPr>
          <w:rFonts w:ascii="Arial" w:hAnsi="Arial" w:cs="Arial"/>
          <w:b/>
          <w:sz w:val="24"/>
          <w:szCs w:val="24"/>
          <w:lang w:val="pt-BR"/>
        </w:rPr>
        <w:t>estes</w:t>
      </w:r>
      <w:r w:rsidR="00F12B03" w:rsidRPr="002B6D61">
        <w:rPr>
          <w:rFonts w:ascii="Arial" w:hAnsi="Arial" w:cs="Arial"/>
          <w:b/>
          <w:sz w:val="24"/>
          <w:szCs w:val="24"/>
          <w:lang w:val="pt-BR"/>
        </w:rPr>
        <w:t xml:space="preserve"> Termos</w:t>
      </w:r>
    </w:p>
    <w:p w14:paraId="08F0E3B7" w14:textId="77777777" w:rsidR="00F12B03" w:rsidRPr="002B6D61" w:rsidRDefault="002B6D61" w:rsidP="002B6D6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F12B03" w:rsidRPr="002B6D61">
        <w:rPr>
          <w:rFonts w:ascii="Arial" w:hAnsi="Arial" w:cs="Arial"/>
          <w:b/>
          <w:sz w:val="24"/>
          <w:szCs w:val="24"/>
        </w:rPr>
        <w:t>P</w:t>
      </w:r>
      <w:r w:rsidR="00821D15" w:rsidRPr="002B6D61">
        <w:rPr>
          <w:rFonts w:ascii="Arial" w:hAnsi="Arial" w:cs="Arial"/>
          <w:b/>
          <w:sz w:val="24"/>
          <w:szCs w:val="24"/>
        </w:rPr>
        <w:t xml:space="preserve">ede </w:t>
      </w:r>
      <w:r w:rsidR="00F12B03" w:rsidRPr="002B6D61">
        <w:rPr>
          <w:rFonts w:ascii="Arial" w:hAnsi="Arial" w:cs="Arial"/>
          <w:b/>
          <w:sz w:val="24"/>
          <w:szCs w:val="24"/>
        </w:rPr>
        <w:t>Deferimento</w:t>
      </w:r>
    </w:p>
    <w:p w14:paraId="1C5CA917" w14:textId="77777777" w:rsidR="00F12B03" w:rsidRPr="002B6D61" w:rsidRDefault="00F12B03" w:rsidP="002B6D6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9CFA761" w14:textId="77777777" w:rsidR="00821D15" w:rsidRPr="002B6D61" w:rsidRDefault="002B6D61" w:rsidP="002B6D6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Local e data.</w:t>
      </w:r>
    </w:p>
    <w:p w14:paraId="1E550DC8" w14:textId="77777777" w:rsidR="00F12B03" w:rsidRPr="002B6D61" w:rsidRDefault="00F12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FE6775" w14:textId="77777777" w:rsidR="00F12B03" w:rsidRDefault="002B6D61" w:rsidP="002B6D6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ADOVOGADO</w:t>
      </w:r>
    </w:p>
    <w:p w14:paraId="1DD3B704" w14:textId="77777777" w:rsidR="002B6D61" w:rsidRPr="002B6D61" w:rsidRDefault="002B6D61" w:rsidP="002B6D6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OAB/</w:t>
      </w:r>
    </w:p>
    <w:p w14:paraId="5E20E12E" w14:textId="77777777" w:rsidR="00F12B03" w:rsidRDefault="00F12B03" w:rsidP="002B6D61">
      <w:pPr>
        <w:pStyle w:val="Ttulo1"/>
        <w:spacing w:line="360" w:lineRule="auto"/>
        <w:jc w:val="left"/>
        <w:rPr>
          <w:rFonts w:ascii="Arial" w:hAnsi="Arial" w:cs="Arial"/>
          <w:sz w:val="24"/>
          <w:szCs w:val="24"/>
          <w:lang w:val="pt-BR"/>
        </w:rPr>
      </w:pPr>
    </w:p>
    <w:p w14:paraId="2E6B7B8D" w14:textId="77777777" w:rsidR="002B6D61" w:rsidRDefault="002B6D61" w:rsidP="002B6D61"/>
    <w:p w14:paraId="6C6FA1E4" w14:textId="77777777" w:rsidR="002B6D61" w:rsidRPr="002B6D61" w:rsidRDefault="002B6D61" w:rsidP="002B6D61"/>
    <w:p w14:paraId="11A2A796" w14:textId="77777777" w:rsidR="00F12B03" w:rsidRPr="002B6D61" w:rsidRDefault="00F12B03" w:rsidP="002B6D61">
      <w:pPr>
        <w:spacing w:line="360" w:lineRule="auto"/>
        <w:rPr>
          <w:rFonts w:ascii="Arial" w:hAnsi="Arial" w:cs="Arial"/>
          <w:sz w:val="24"/>
          <w:szCs w:val="24"/>
        </w:rPr>
      </w:pPr>
    </w:p>
    <w:p w14:paraId="2803CD6E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RAZÕES RECURSAIS</w:t>
      </w:r>
    </w:p>
    <w:p w14:paraId="34ECC7AF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AB54C6D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lastRenderedPageBreak/>
        <w:t xml:space="preserve">Apelante: </w:t>
      </w:r>
      <w:r>
        <w:rPr>
          <w:rFonts w:ascii="Arial" w:hAnsi="Arial" w:cs="Arial"/>
          <w:b/>
          <w:color w:val="000000"/>
        </w:rPr>
        <w:t>JOSÉ MARIA</w:t>
      </w:r>
    </w:p>
    <w:p w14:paraId="1841F938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Apelada: </w:t>
      </w:r>
      <w:r>
        <w:rPr>
          <w:rFonts w:ascii="Arial" w:hAnsi="Arial" w:cs="Arial"/>
          <w:b/>
          <w:color w:val="000000"/>
        </w:rPr>
        <w:t>MARIA JOSÉ</w:t>
      </w:r>
    </w:p>
    <w:p w14:paraId="3602AA7E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Origem: processo nº XXXXXX, 1ª Vara Cível (Comarca de</w:t>
      </w:r>
      <w:r>
        <w:rPr>
          <w:rFonts w:ascii="Arial" w:hAnsi="Arial" w:cs="Arial"/>
          <w:b/>
          <w:color w:val="000000"/>
        </w:rPr>
        <w:t xml:space="preserve"> XXXXXXX</w:t>
      </w:r>
      <w:r w:rsidRPr="00C51F5F">
        <w:rPr>
          <w:rFonts w:ascii="Arial" w:hAnsi="Arial" w:cs="Arial"/>
          <w:b/>
          <w:color w:val="000000"/>
        </w:rPr>
        <w:t>)</w:t>
      </w:r>
    </w:p>
    <w:p w14:paraId="1F5372C0" w14:textId="77777777" w:rsidR="002B6D61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5F65F475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65601BFF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EGRÉGIO TRIBUNAL,</w:t>
      </w:r>
    </w:p>
    <w:p w14:paraId="331EEA44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440E0A5F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COLENDA CÃMARA.</w:t>
      </w:r>
    </w:p>
    <w:p w14:paraId="69B0A5EB" w14:textId="77777777" w:rsidR="002B6D61" w:rsidRPr="00C51F5F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38DA062F" w14:textId="77777777" w:rsidR="002B6D61" w:rsidRDefault="002B6D61" w:rsidP="002B6D61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Eméritos Desembargadores,</w:t>
      </w:r>
    </w:p>
    <w:p w14:paraId="1F2BFC70" w14:textId="77777777" w:rsidR="002B6D61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5801379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D781167" w14:textId="77777777" w:rsidR="002B6D61" w:rsidRPr="00C51F5F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12406D6B" w14:textId="77777777" w:rsidR="002B6D61" w:rsidRDefault="002B6D61" w:rsidP="002B6D61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I – BREVE SÍNTESE DO PROCESSO</w:t>
      </w:r>
    </w:p>
    <w:p w14:paraId="4CB262E9" w14:textId="77777777" w:rsidR="00821D15" w:rsidRPr="002B6D61" w:rsidRDefault="00821D15" w:rsidP="002B6D61">
      <w:pPr>
        <w:spacing w:line="360" w:lineRule="auto"/>
        <w:rPr>
          <w:rFonts w:ascii="Arial" w:hAnsi="Arial" w:cs="Arial"/>
          <w:sz w:val="24"/>
          <w:szCs w:val="24"/>
        </w:rPr>
      </w:pPr>
    </w:p>
    <w:p w14:paraId="72895198" w14:textId="77777777" w:rsidR="002B6D61" w:rsidRDefault="00F12B03" w:rsidP="002B6D61">
      <w:pPr>
        <w:pStyle w:val="Corpodetexto"/>
        <w:spacing w:line="360" w:lineRule="auto"/>
        <w:ind w:firstLine="708"/>
        <w:rPr>
          <w:rFonts w:ascii="Arial" w:hAnsi="Arial" w:cs="Arial"/>
          <w:sz w:val="24"/>
          <w:szCs w:val="24"/>
          <w:lang w:val="pt-BR"/>
        </w:rPr>
      </w:pPr>
      <w:r w:rsidRPr="002B6D61">
        <w:rPr>
          <w:rFonts w:ascii="Arial" w:hAnsi="Arial" w:cs="Arial"/>
          <w:sz w:val="24"/>
          <w:szCs w:val="24"/>
          <w:lang w:val="pt-BR"/>
        </w:rPr>
        <w:t>A Apelante fará uma sucinta exposição dos fatos que deram origem à demanda, com uma análise detalhada das provas realizadas.</w:t>
      </w:r>
    </w:p>
    <w:p w14:paraId="190C22F7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Mesmo aqueles que defendem a tese de que a responsabilidade pelo pagamento das taxas condominiais é do proprietário, considerando como tal, aquele em nome de quem o imóvel está registrado, são unânimes quanto à necessidade de aferir-se a responsabilidade de acordo com as circunstâncias do caso concreto. </w:t>
      </w:r>
    </w:p>
    <w:p w14:paraId="01A62331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A questão posta nos autos se refere à ilegitimidade a saber de quem é a responsabilidade pelo pagamento das taxas de condomínio ora cobradas. </w:t>
      </w:r>
    </w:p>
    <w:p w14:paraId="5DA0D0E3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>E, neste sentido, a nosso aviso, perfeitamente cabível no caso, a denunciação da atual proprietária do imóvel em questão, mesmo porque já lavrada a escritura pública de compra e venda ( f.</w:t>
      </w:r>
      <w:r w:rsidR="00821D15" w:rsidRPr="002B6D61">
        <w:rPr>
          <w:rFonts w:ascii="Arial" w:hAnsi="Arial" w:cs="Arial"/>
          <w:color w:val="000000"/>
          <w:sz w:val="24"/>
          <w:szCs w:val="24"/>
          <w:lang w:val="pt-BR"/>
        </w:rPr>
        <w:t>....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) e confessada a dívida. </w:t>
      </w:r>
    </w:p>
    <w:p w14:paraId="7D7A763E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Com tais considerações, dou provimento ao apelo e reformo a sentença para excluir o requerido </w:t>
      </w:r>
      <w:r w:rsidR="00821D15"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.......... 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>do feito, condenando o autor ao pagamento das custas processuais até a presente data e honorários advocatícios q em R$</w:t>
      </w:r>
      <w:r w:rsidR="00821D15" w:rsidRPr="002B6D61">
        <w:rPr>
          <w:rFonts w:ascii="Arial" w:hAnsi="Arial" w:cs="Arial"/>
          <w:color w:val="000000"/>
          <w:sz w:val="24"/>
          <w:szCs w:val="24"/>
          <w:lang w:val="pt-BR"/>
        </w:rPr>
        <w:t>..........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>e acatar a denunciação da lide</w:t>
      </w:r>
      <w:r w:rsidR="00821D15" w:rsidRPr="002B6D61">
        <w:rPr>
          <w:rFonts w:ascii="Arial" w:hAnsi="Arial" w:cs="Arial"/>
          <w:color w:val="000000"/>
          <w:sz w:val="24"/>
          <w:szCs w:val="24"/>
          <w:lang w:val="pt-BR"/>
        </w:rPr>
        <w:t>.</w:t>
      </w:r>
    </w:p>
    <w:p w14:paraId="5E1735C3" w14:textId="77777777" w:rsidR="002B6D61" w:rsidRP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Trata-se, como relatado, de apelação cível interposta por Ramilson Pereira Tito e sua esposa Maria Gorete Rodrigues Tito, </w:t>
      </w:r>
      <w:r w:rsidRPr="002B6D61">
        <w:rPr>
          <w:rFonts w:ascii="Arial" w:hAnsi="Arial" w:cs="Arial"/>
          <w:b/>
          <w:bCs/>
          <w:color w:val="000000"/>
          <w:sz w:val="24"/>
          <w:szCs w:val="24"/>
          <w:lang w:val="pt-BR"/>
        </w:rPr>
        <w:t>irresignados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 com a decisão do MM. 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Juiz de Direito da Segunda Vara Cível da Comarca de 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 xml:space="preserve">...... 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que julgou procedente Ação de Cobrança que lhes moveu o Condomínio Residencial Oton Osório, condenando-lhes ao pagamento do valor cobrado na </w:t>
      </w:r>
      <w:r w:rsidRPr="002B6D61">
        <w:rPr>
          <w:rFonts w:ascii="Arial" w:hAnsi="Arial" w:cs="Arial"/>
          <w:color w:val="000000"/>
          <w:sz w:val="24"/>
          <w:szCs w:val="24"/>
        </w:rPr>
        <w:lastRenderedPageBreak/>
        <w:t xml:space="preserve">inicial - R$ 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>.............</w:t>
      </w:r>
      <w:r w:rsidRPr="002B6D61">
        <w:rPr>
          <w:rFonts w:ascii="Arial" w:hAnsi="Arial" w:cs="Arial"/>
          <w:color w:val="000000"/>
          <w:sz w:val="24"/>
          <w:szCs w:val="24"/>
        </w:rPr>
        <w:t>(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>Extenso ..........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), incidindo sobre o montante da dívida juros e correção monetária, havendo, ainda, condenação dos réus nas custas e honorários advocatícios, arbitrados estes em 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 xml:space="preserve">..... 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>%</w:t>
      </w:r>
      <w:r w:rsidR="00821D15" w:rsidRPr="002B6D61">
        <w:rPr>
          <w:rFonts w:ascii="Arial" w:hAnsi="Arial" w:cs="Arial"/>
          <w:color w:val="000000"/>
          <w:sz w:val="24"/>
          <w:szCs w:val="24"/>
          <w:lang w:val="pt-BR"/>
        </w:rPr>
        <w:t>......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>sobre o valor da causa.</w:t>
      </w:r>
    </w:p>
    <w:p w14:paraId="3B7662D1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>O cerne da questão é saber quem é o responsável pela dívida questionada, dela credor o condomínio referido.</w:t>
      </w:r>
    </w:p>
    <w:p w14:paraId="47B9B1C2" w14:textId="77777777" w:rsid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  <w:lang w:val="pt-BR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>É cediço que o condômino é o responsável pelas questões oriundas do condomínio, respondendo o adquirente pelos débitos deixados pelo vendedor, daí concluindo-se que a dívida haveria de ter sido cobrada do condômino e não do vendedor da unidade residencial, como feito, que sequer haveria de integrar a lide como litisdenunciante.</w:t>
      </w:r>
    </w:p>
    <w:p w14:paraId="39E54468" w14:textId="77777777" w:rsidR="00713B03" w:rsidRPr="002B6D61" w:rsidRDefault="00713B03" w:rsidP="002B6D61">
      <w:pPr>
        <w:pStyle w:val="Corpodetexto"/>
        <w:spacing w:line="360" w:lineRule="auto"/>
        <w:ind w:firstLine="708"/>
        <w:rPr>
          <w:rFonts w:ascii="Arial" w:hAnsi="Arial" w:cs="Arial"/>
          <w:color w:val="000000"/>
          <w:sz w:val="24"/>
          <w:szCs w:val="24"/>
        </w:rPr>
      </w:pP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A respeito, anotam Nelson Nery Junior e Rosa Maria Andrade Nery, </w:t>
      </w:r>
      <w:r w:rsidRPr="002B6D61">
        <w:rPr>
          <w:rFonts w:ascii="Arial" w:hAnsi="Arial" w:cs="Arial"/>
          <w:i/>
          <w:iCs/>
          <w:color w:val="000000"/>
          <w:sz w:val="24"/>
          <w:szCs w:val="24"/>
          <w:lang w:val="pt-BR"/>
        </w:rPr>
        <w:t>in</w:t>
      </w:r>
      <w:r w:rsidRPr="002B6D61">
        <w:rPr>
          <w:rFonts w:ascii="Arial" w:hAnsi="Arial" w:cs="Arial"/>
          <w:color w:val="000000"/>
          <w:sz w:val="24"/>
          <w:szCs w:val="24"/>
          <w:lang w:val="pt-BR"/>
        </w:rPr>
        <w:t xml:space="preserve"> “Código de Processo Civil Comentado e Legislação Processual Civil Extravagante em Vigor”, 6ª edição, Editora Revista dos Tribunais, págs. 376,</w:t>
      </w:r>
      <w:r w:rsidR="002B6D61">
        <w:rPr>
          <w:rFonts w:ascii="Arial" w:hAnsi="Arial" w:cs="Arial"/>
          <w:color w:val="000000"/>
          <w:sz w:val="24"/>
          <w:szCs w:val="24"/>
          <w:lang w:val="pt-BR"/>
        </w:rPr>
        <w:t xml:space="preserve"> </w:t>
      </w:r>
      <w:r w:rsidRPr="002B6D61">
        <w:rPr>
          <w:rFonts w:ascii="Arial" w:hAnsi="Arial" w:cs="Arial"/>
          <w:color w:val="000000"/>
          <w:sz w:val="24"/>
          <w:szCs w:val="24"/>
        </w:rPr>
        <w:t>“</w:t>
      </w:r>
      <w:r w:rsidRPr="002B6D61">
        <w:rPr>
          <w:rFonts w:ascii="Arial" w:hAnsi="Arial" w:cs="Arial"/>
          <w:b/>
          <w:bCs/>
          <w:color w:val="000000"/>
          <w:sz w:val="24"/>
          <w:szCs w:val="24"/>
        </w:rPr>
        <w:t>Despesas condominiais. Adquirente do imóvel.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 Não pode denunciar a lide ao alienante, porque o adquirente responde pelos débitos deixados pelo vendedor, independentemente da natureza da transferência (LCI 4ª pár. ún.) (JTACivSP 73⁄179).”</w:t>
      </w:r>
    </w:p>
    <w:p w14:paraId="2B7E16F5" w14:textId="77777777" w:rsidR="00821D15" w:rsidRP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Outrossim, sobre a impossibilidade de corrigir-se a ilegitimidade passiva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ad causam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 através da denunciação a lide, asseveram os mesmos autores (obra citada, págs.377):</w:t>
      </w:r>
    </w:p>
    <w:p w14:paraId="1F43924B" w14:textId="77777777" w:rsidR="00713B03" w:rsidRPr="002B6D61" w:rsidRDefault="00713B03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B6D61">
        <w:rPr>
          <w:rFonts w:ascii="Arial" w:hAnsi="Arial" w:cs="Arial"/>
          <w:color w:val="000000"/>
          <w:sz w:val="24"/>
          <w:szCs w:val="24"/>
        </w:rPr>
        <w:t> </w:t>
      </w:r>
    </w:p>
    <w:p w14:paraId="7E500030" w14:textId="77777777" w:rsidR="00713B03" w:rsidRPr="002B6D61" w:rsidRDefault="00713B03" w:rsidP="002B6D61">
      <w:pPr>
        <w:spacing w:line="360" w:lineRule="auto"/>
        <w:ind w:left="2268"/>
        <w:jc w:val="both"/>
        <w:rPr>
          <w:rFonts w:ascii="Arial" w:hAnsi="Arial" w:cs="Arial"/>
          <w:color w:val="000000"/>
          <w:sz w:val="24"/>
          <w:szCs w:val="24"/>
        </w:rPr>
      </w:pPr>
      <w:r w:rsidRPr="002B6D61">
        <w:rPr>
          <w:rFonts w:ascii="Arial" w:hAnsi="Arial" w:cs="Arial"/>
          <w:color w:val="000000"/>
          <w:sz w:val="24"/>
          <w:szCs w:val="24"/>
        </w:rPr>
        <w:t>“</w:t>
      </w:r>
      <w:r w:rsidRPr="002B6D61">
        <w:rPr>
          <w:rFonts w:ascii="Arial" w:hAnsi="Arial" w:cs="Arial"/>
          <w:b/>
          <w:bCs/>
          <w:color w:val="000000"/>
          <w:sz w:val="24"/>
          <w:szCs w:val="24"/>
        </w:rPr>
        <w:t>Ilegitimidade passiva de parte.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 Quando o réu se diz parte ilegítima, a conseqüência é o decreto de carência de ação e não de denunciação da lide, que é ação de regresso contendo pedido do réu em face do terceiro. A denunciação da lide não é forma de correção da ilegitimidade passiva (RJTAMG 23⁄142). No mesmo sentido: RJTAMG 24⁄25-2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>0</w:t>
      </w:r>
      <w:r w:rsidRPr="002B6D61">
        <w:rPr>
          <w:rFonts w:ascii="Arial" w:hAnsi="Arial" w:cs="Arial"/>
          <w:color w:val="000000"/>
          <w:sz w:val="24"/>
          <w:szCs w:val="24"/>
        </w:rPr>
        <w:t>17)”.</w:t>
      </w:r>
    </w:p>
    <w:p w14:paraId="5E243370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D62F39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DE67E4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44428F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4BA52A6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0176F5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3D67E1" w14:textId="77777777" w:rsid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In casu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, impossível admitir que, por lei ou por contrato, tenha o réu da demanda, ora recorrente, ação de regresso contra os litisdenunciados. E a denunciação à lide só deve ser admitida quando o denunciado esteja obrigado, por força de lei ou de contrato, a garantir o resultado da demanda, a obrigação direta e automática de garantia do resultado da ação (artigo 70, inciso III, do Código de Processo Civil). O que se poderia admitir,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ad argumentandum tantum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, era a hipótese inversa, em virtude do contrato de permuta, nos termos em que foi formulado. Todavia, o contrato de permuta mencionado faz lei apenas entre as partes contratantes: Ramilson Pereira Tito e sua esposa e Carlos Fernandes de Araújo Lima e sua esposa, uma vez que dele não participou o condomínio autor da demanda. E o que os denunciantes intentavam provar era que o dever de pagar não era seu, mas dos denunciados, caracterizando, portanto, fundamento novo, inadmissível para o incidente processual admitido pelo magistrado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a quo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,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data maxima venia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>.</w:t>
      </w:r>
    </w:p>
    <w:p w14:paraId="58C6D22B" w14:textId="77777777" w:rsid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Outrossim, não pode ser desprezado o fato que foi a denunciação à lide pugnada em audiência pela parte ré na demanda, com a anuência da parte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ex adversa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, e não em sede de contestação como lhe cumpria. Com efeito, se a denunciação à lide é feita pelo autor, este deve fazê-lo quando da propositura da ação; se é pugnada pela parte ré, o momento oportuno é a contestação do Código de Processo Civil), sob pena de preclusão. Ademais, “o denunciante deve deduzir pretensão condenatória, pedindo ao denunciado que o indenize, em regresso, pela perda da propriedade (evicção) ou por aquilo que tiver de pagar à parte contrária na ação principal” (obra citada, págs. 379), o que não ocorreu na espécie. Portanto, impossível a admissão da denunciação da lide no caso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sub judice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>.</w:t>
      </w:r>
    </w:p>
    <w:p w14:paraId="5E7994A2" w14:textId="77777777" w:rsidR="00713B03" w:rsidRP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Pertinente ainda registrar que a ausência de uma das condições da ação, no caso legitimidade de parte, não pode ser tida como implementada no curso do processo possibilitando ao juiz proferir sentença de mérito considerando-se que não há preclusão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pro judicato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 para as questões de ordem pública, como o são as condições da ação, porque, em se tratando de litisdenunciação, a parte ilegítima haveria de ser excluída da demanda, prosseguindo a ação em relação ao litisdenunciado. E não foi isso o que ocorreu na hipótese dos autos, onde foi condenado o denunciante...</w:t>
      </w:r>
    </w:p>
    <w:p w14:paraId="794802F5" w14:textId="77777777" w:rsidR="00821D15" w:rsidRPr="002B6D61" w:rsidRDefault="00821D15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A677B9" w14:textId="77777777" w:rsid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color w:val="000000"/>
          <w:sz w:val="24"/>
          <w:szCs w:val="24"/>
        </w:rPr>
        <w:t>Por último, registre-se que a nulidade do processo a partir da admissão da denunciação a lide não se afigura recomendável posto que nada acrescentaria aos autos em termos práticos, vindo inclusive de encontro aos objetivos do incidente processual referido: economia e celeridade processuais, pondo-os em risco.</w:t>
      </w:r>
    </w:p>
    <w:p w14:paraId="3F4BE4D3" w14:textId="77777777" w:rsidR="00713B03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821D15" w:rsidRPr="002B6D61">
        <w:rPr>
          <w:rFonts w:ascii="Arial" w:hAnsi="Arial" w:cs="Arial"/>
          <w:color w:val="000000"/>
          <w:sz w:val="24"/>
          <w:szCs w:val="24"/>
        </w:rPr>
        <w:t>É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 uma das condições da ação a legitimidade das partes, acarretando sua ausência a extinção do processo sem julgamento do mérito </w:t>
      </w:r>
      <w:r w:rsidR="00821D15" w:rsidRPr="002B6D61">
        <w:rPr>
          <w:rFonts w:ascii="Arial" w:hAnsi="Arial" w:cs="Arial"/>
          <w:color w:val="000000"/>
          <w:sz w:val="24"/>
          <w:szCs w:val="24"/>
        </w:rPr>
        <w:t xml:space="preserve">NCPC; 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 xml:space="preserve">E tratando-se de matéria de ordem pública, pode ser reconhecida até mesmo </w:t>
      </w:r>
      <w:r w:rsidR="00713B03" w:rsidRPr="002B6D61">
        <w:rPr>
          <w:rFonts w:ascii="Arial" w:hAnsi="Arial" w:cs="Arial"/>
          <w:i/>
          <w:iCs/>
          <w:color w:val="000000"/>
          <w:sz w:val="24"/>
          <w:szCs w:val="24"/>
        </w:rPr>
        <w:t>ex officio</w:t>
      </w:r>
      <w:r w:rsidR="00713B03" w:rsidRPr="002B6D61">
        <w:rPr>
          <w:rFonts w:ascii="Arial" w:hAnsi="Arial" w:cs="Arial"/>
          <w:color w:val="000000"/>
          <w:sz w:val="24"/>
          <w:szCs w:val="24"/>
        </w:rPr>
        <w:t>, registrando-se, porém, que, na espécie, foi ela tratada em sede de contestação, como já visto.</w:t>
      </w:r>
    </w:p>
    <w:p w14:paraId="5D964CB7" w14:textId="77777777" w:rsidR="00821D15" w:rsidRPr="002B6D61" w:rsidRDefault="002B6D61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13B03" w:rsidRPr="002B6D61">
        <w:rPr>
          <w:rFonts w:ascii="Arial" w:hAnsi="Arial" w:cs="Arial"/>
          <w:color w:val="000000"/>
          <w:sz w:val="24"/>
          <w:szCs w:val="24"/>
        </w:rPr>
        <w:t>Assim, considerando a ilegitimidade passiva do recorrente para a ação que contra si foi proposta, inclusive nela tendo sido condenado, dou provimento ao recurso para extinguir o feito sem julgamento do mérito, nos termos do dispositivo legal anteriormente mencionado.</w:t>
      </w:r>
      <w:r w:rsidRPr="002B6D6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A09EF0E" w14:textId="77777777" w:rsidR="002B6D61" w:rsidRDefault="002B6D61" w:rsidP="002B6D61">
      <w:pPr>
        <w:pStyle w:val="NormalWeb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2701F9" w:rsidRPr="002B6D61">
        <w:rPr>
          <w:rFonts w:ascii="Arial" w:hAnsi="Arial" w:cs="Arial"/>
          <w:b/>
        </w:rPr>
        <w:t>Multa moratória.</w:t>
      </w:r>
    </w:p>
    <w:p w14:paraId="1A24DF7A" w14:textId="77777777" w:rsidR="00821D15" w:rsidRPr="002B6D61" w:rsidRDefault="002B6D61" w:rsidP="002B6D61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701F9" w:rsidRPr="002B6D61">
        <w:rPr>
          <w:rFonts w:ascii="Arial" w:hAnsi="Arial" w:cs="Arial"/>
        </w:rPr>
        <w:t>No que se refere à multa moratória, certo é que, prevista no art. 12, § 3º, da Lei 4.591/64, somente pode ser aplicada se assim constar da convenção de condomínio. Na hipótese dos autos, o percentual buscado na inicial mostra-se correto, pois a convenção de condomínio (fl. 40 - verso), mais especificamente em seu art. 40º, determina sua aplicação no percentual de 20%, em consonância com o aludido diploma legal, que assim dispõe:</w:t>
      </w:r>
    </w:p>
    <w:p w14:paraId="139E1AAC" w14:textId="77777777" w:rsidR="002701F9" w:rsidRPr="002B6D61" w:rsidRDefault="002701F9" w:rsidP="002B6D61">
      <w:pPr>
        <w:pStyle w:val="NormalWeb"/>
        <w:spacing w:line="360" w:lineRule="auto"/>
        <w:ind w:left="1843"/>
        <w:jc w:val="both"/>
        <w:rPr>
          <w:rFonts w:ascii="Arial" w:hAnsi="Arial" w:cs="Arial"/>
        </w:rPr>
      </w:pPr>
      <w:r w:rsidRPr="002B6D61">
        <w:rPr>
          <w:rStyle w:val="nfase"/>
          <w:rFonts w:ascii="Arial" w:hAnsi="Arial" w:cs="Arial"/>
        </w:rPr>
        <w:t>“O condômino que não pagar a sua contribuição no prazo fixado na convenção fica sujeito ao juro moratório de 1% ao mês, e multa de até 20% sobre o débito, [...]”</w:t>
      </w:r>
      <w:r w:rsidRPr="002B6D61">
        <w:rPr>
          <w:rFonts w:ascii="Arial" w:hAnsi="Arial" w:cs="Arial"/>
        </w:rPr>
        <w:t>.(grifei).</w:t>
      </w:r>
    </w:p>
    <w:p w14:paraId="3371F9AC" w14:textId="77777777" w:rsidR="002701F9" w:rsidRPr="002B6D61" w:rsidRDefault="002B6D61" w:rsidP="002B6D61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701F9" w:rsidRPr="002B6D61">
        <w:rPr>
          <w:rFonts w:ascii="Arial" w:hAnsi="Arial" w:cs="Arial"/>
        </w:rPr>
        <w:t xml:space="preserve">Assim, legítima a cobrança da multa no percentual de 20% sobre o montante devido, isso porque o apelante permanece inadimplente com as parcelas desde novembro de </w:t>
      </w:r>
      <w:r w:rsidR="00E66440" w:rsidRPr="002B6D61">
        <w:rPr>
          <w:rFonts w:ascii="Arial" w:hAnsi="Arial" w:cs="Arial"/>
        </w:rPr>
        <w:t>2012</w:t>
      </w:r>
      <w:r w:rsidR="002701F9" w:rsidRPr="002B6D61">
        <w:rPr>
          <w:rFonts w:ascii="Arial" w:hAnsi="Arial" w:cs="Arial"/>
        </w:rPr>
        <w:t>, no que aplicável o art. 40º da convenção de condomínio, não se mostrando cabível a redução pretendida, devendo incidir sobre as prestações que se venceram até a entrada em vigor do novo Código Civil, ou seja, até janeiro de 2003.</w:t>
      </w:r>
    </w:p>
    <w:p w14:paraId="36841660" w14:textId="77777777" w:rsidR="00821D15" w:rsidRPr="002B6D61" w:rsidRDefault="002B6D61" w:rsidP="002B6D61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701F9" w:rsidRPr="002B6D61">
        <w:rPr>
          <w:rFonts w:ascii="Arial" w:hAnsi="Arial" w:cs="Arial"/>
        </w:rPr>
        <w:t xml:space="preserve">Sobre as parcelas vencidas após esta data, ou seja, a partir do mês </w:t>
      </w:r>
      <w:r w:rsidR="00821D15" w:rsidRPr="002B6D61">
        <w:rPr>
          <w:rFonts w:ascii="Arial" w:hAnsi="Arial" w:cs="Arial"/>
        </w:rPr>
        <w:t>.....</w:t>
      </w:r>
      <w:r w:rsidR="002701F9" w:rsidRPr="002B6D61">
        <w:rPr>
          <w:rFonts w:ascii="Arial" w:hAnsi="Arial" w:cs="Arial"/>
        </w:rPr>
        <w:t xml:space="preserve">, deverá incidir a multa no patamar de 2%, nos termos do § 1º </w:t>
      </w:r>
      <w:r w:rsidR="002701F9" w:rsidRPr="002B6D61">
        <w:rPr>
          <w:rFonts w:ascii="Arial" w:hAnsi="Arial" w:cs="Arial"/>
          <w:b/>
        </w:rPr>
        <w:t>do art. 1.336 do novo CCB.</w:t>
      </w:r>
      <w:r w:rsidR="002701F9" w:rsidRPr="002B6D61">
        <w:rPr>
          <w:rFonts w:ascii="Arial" w:hAnsi="Arial" w:cs="Arial"/>
        </w:rPr>
        <w:t xml:space="preserve"> Correta, pois, a sentença com relação a este tópico.</w:t>
      </w:r>
      <w:r w:rsidRPr="002B6D61">
        <w:rPr>
          <w:rFonts w:ascii="Arial" w:hAnsi="Arial" w:cs="Arial"/>
        </w:rPr>
        <w:t xml:space="preserve"> </w:t>
      </w:r>
    </w:p>
    <w:p w14:paraId="045B2105" w14:textId="77777777" w:rsidR="002701F9" w:rsidRPr="002B6D61" w:rsidRDefault="002B6D61" w:rsidP="002B6D61">
      <w:pPr>
        <w:pStyle w:val="NormalWeb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2701F9" w:rsidRPr="002B6D61">
        <w:rPr>
          <w:rFonts w:ascii="Arial" w:hAnsi="Arial" w:cs="Arial"/>
          <w:b/>
        </w:rPr>
        <w:t>Nesse sentido, a jurisprudência desta Corte:</w:t>
      </w:r>
    </w:p>
    <w:p w14:paraId="370E5C83" w14:textId="77777777" w:rsidR="002701F9" w:rsidRPr="002B6D61" w:rsidRDefault="002701F9" w:rsidP="002B6D61">
      <w:pPr>
        <w:pStyle w:val="NormalWeb"/>
        <w:spacing w:line="360" w:lineRule="auto"/>
        <w:ind w:left="1701"/>
        <w:jc w:val="both"/>
        <w:rPr>
          <w:rFonts w:ascii="Arial" w:hAnsi="Arial" w:cs="Arial"/>
          <w:b/>
        </w:rPr>
      </w:pPr>
      <w:r w:rsidRPr="002B6D61">
        <w:rPr>
          <w:rStyle w:val="nfase"/>
          <w:rFonts w:ascii="Arial" w:hAnsi="Arial" w:cs="Arial"/>
          <w:b/>
        </w:rPr>
        <w:t xml:space="preserve">“CONDOMINIO. ACAO DE COBRANÇA DE COTAS CONDOMINIAIS. PROVA TESTEMUNHAL. CERCEAMENTO DE DEFESA NAO CARACTERIZADO. [...] MULTA MORATÓRIA. PERCENTUAL. A PARTIR DA ENTRADA </w:t>
      </w:r>
      <w:smartTag w:uri="urn:schemas-microsoft-com:office:smarttags" w:element="PersonName">
        <w:smartTagPr>
          <w:attr w:name="ProductID" w:val="EM VIGOR DO NOVO"/>
        </w:smartTagPr>
        <w:r w:rsidRPr="002B6D61">
          <w:rPr>
            <w:rStyle w:val="nfase"/>
            <w:rFonts w:ascii="Arial" w:hAnsi="Arial" w:cs="Arial"/>
            <w:b/>
          </w:rPr>
          <w:t>EM VIGOR DO NOVO</w:t>
        </w:r>
      </w:smartTag>
      <w:r w:rsidRPr="002B6D61">
        <w:rPr>
          <w:rStyle w:val="nfase"/>
          <w:rFonts w:ascii="Arial" w:hAnsi="Arial" w:cs="Arial"/>
          <w:b/>
        </w:rPr>
        <w:t xml:space="preserve"> CÓDIGO CIVIL, O PERCENTUAL DA MULTA MORATÓRIA A SER APLICADA SOBRE AS QUOTAS CONDOMINIAIS INADIMPLIDAS FICA LIMITADA A 2%, SENDO QUE AS PRESTAÇÕES VENCIDAS ANTERIORMENTE A ESTA DATA APLICA-SE A MULTA DE 20% ESTIPULADA NA CONVENÇÃO CONDOMINIAL, POR NÃO SE MOSTRAR ILEGAL OU ABUSIVA, VISTO QUE </w:t>
      </w:r>
      <w:smartTag w:uri="urn:schemas-microsoft-com:office:smarttags" w:element="PersonName">
        <w:smartTagPr>
          <w:attr w:name="ProductID" w:val="EM CONSONￂNCIA COM O"/>
        </w:smartTagPr>
        <w:r w:rsidRPr="002B6D61">
          <w:rPr>
            <w:rStyle w:val="nfase"/>
            <w:rFonts w:ascii="Arial" w:hAnsi="Arial" w:cs="Arial"/>
            <w:b/>
          </w:rPr>
          <w:t>EM CONSONÂNCIA COM O</w:t>
        </w:r>
      </w:smartTag>
      <w:r w:rsidRPr="002B6D61">
        <w:rPr>
          <w:rStyle w:val="nfase"/>
          <w:rFonts w:ascii="Arial" w:hAnsi="Arial" w:cs="Arial"/>
          <w:b/>
        </w:rPr>
        <w:t xml:space="preserve"> DISPOSTO NA LEI N. 4.591/64. [...]” (APELAÇÃO CÍVEL Nº 70006170781, DÉCIMA SÉTIMA CÂMARA CÍVEL, TRIBUNAL DE JUSTIÇA DO RS, RELATOR: DES. JORGE LUIS DALL'AGNOL</w:t>
      </w:r>
      <w:r w:rsidR="00821D15" w:rsidRPr="002B6D61">
        <w:rPr>
          <w:rStyle w:val="nfase"/>
          <w:rFonts w:ascii="Arial" w:hAnsi="Arial" w:cs="Arial"/>
          <w:b/>
        </w:rPr>
        <w:t>.</w:t>
      </w:r>
    </w:p>
    <w:p w14:paraId="3CFFE10F" w14:textId="77777777" w:rsidR="002701F9" w:rsidRPr="002B6D61" w:rsidRDefault="002701F9" w:rsidP="002B6D6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69E3A0" w14:textId="77777777" w:rsidR="00713B03" w:rsidRPr="002B6D61" w:rsidRDefault="00713B03" w:rsidP="002B6D61">
      <w:pPr>
        <w:pStyle w:val="Recuodecorpodetexto"/>
        <w:spacing w:line="360" w:lineRule="auto"/>
        <w:ind w:left="0" w:firstLine="708"/>
        <w:rPr>
          <w:rFonts w:ascii="Arial" w:hAnsi="Arial" w:cs="Arial"/>
          <w:b/>
          <w:sz w:val="24"/>
          <w:szCs w:val="24"/>
          <w:lang w:val="pt-BR"/>
        </w:rPr>
      </w:pPr>
      <w:r w:rsidRPr="002B6D61">
        <w:rPr>
          <w:rFonts w:ascii="Arial" w:hAnsi="Arial" w:cs="Arial"/>
          <w:sz w:val="24"/>
          <w:szCs w:val="24"/>
          <w:lang w:val="pt-BR"/>
        </w:rPr>
        <w:t xml:space="preserve">A contar de tais fundamentos, configurado o ato ilícito da Recorrida, requer seja dado provimento ao recurso, para que seja reformada a sentença guerreada e condenar a Recorrida a indenizar a Apelante pelos danos morais nos valores contidos na exordial, bem como nos honorários sucumbenciais este no percentual de  20% sobre o valor da condenação, tudo acrescido de juros legais de 1% ao mês e correção monetária, desde da data do protesto  até o efetivo pagamento pois assim o fazendo estará esta Egrégia Turma distribuindo </w:t>
      </w:r>
      <w:r w:rsidR="002B6D61">
        <w:rPr>
          <w:rFonts w:ascii="Arial" w:hAnsi="Arial" w:cs="Arial"/>
          <w:b/>
          <w:sz w:val="24"/>
          <w:szCs w:val="24"/>
          <w:lang w:val="pt-BR"/>
        </w:rPr>
        <w:t>JUSTIÇA!</w:t>
      </w:r>
    </w:p>
    <w:p w14:paraId="5C4E4F89" w14:textId="77777777" w:rsidR="00821D15" w:rsidRPr="002B6D61" w:rsidRDefault="00821D15" w:rsidP="002B6D61">
      <w:pPr>
        <w:pStyle w:val="Recuodecorpodetexto"/>
        <w:spacing w:line="360" w:lineRule="auto"/>
        <w:ind w:left="0" w:firstLine="708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434E0F83" w14:textId="77777777" w:rsidR="00713B03" w:rsidRPr="002B6D61" w:rsidRDefault="002B6D61" w:rsidP="002B6D61">
      <w:pPr>
        <w:pStyle w:val="Recuodecorpodetexto"/>
        <w:spacing w:line="360" w:lineRule="auto"/>
        <w:ind w:left="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ab/>
      </w:r>
      <w:r w:rsidR="00713B03" w:rsidRPr="002B6D61">
        <w:rPr>
          <w:rFonts w:ascii="Arial" w:hAnsi="Arial" w:cs="Arial"/>
          <w:sz w:val="24"/>
          <w:szCs w:val="24"/>
          <w:lang w:val="pt-BR"/>
        </w:rPr>
        <w:t>N</w:t>
      </w:r>
      <w:r w:rsidR="00821D15" w:rsidRPr="002B6D61">
        <w:rPr>
          <w:rFonts w:ascii="Arial" w:hAnsi="Arial" w:cs="Arial"/>
          <w:sz w:val="24"/>
          <w:szCs w:val="24"/>
          <w:lang w:val="pt-BR"/>
        </w:rPr>
        <w:t xml:space="preserve">estes </w:t>
      </w:r>
      <w:r w:rsidR="00713B03" w:rsidRPr="002B6D61">
        <w:rPr>
          <w:rFonts w:ascii="Arial" w:hAnsi="Arial" w:cs="Arial"/>
          <w:sz w:val="24"/>
          <w:szCs w:val="24"/>
          <w:lang w:val="pt-BR"/>
        </w:rPr>
        <w:t>Termos</w:t>
      </w:r>
      <w:r w:rsidRPr="002B6D61">
        <w:rPr>
          <w:rFonts w:ascii="Arial" w:hAnsi="Arial" w:cs="Arial"/>
          <w:sz w:val="24"/>
          <w:szCs w:val="24"/>
          <w:lang w:val="pt-BR"/>
        </w:rPr>
        <w:t>,</w:t>
      </w:r>
    </w:p>
    <w:p w14:paraId="24B5FF24" w14:textId="77777777" w:rsidR="00713B03" w:rsidRPr="002B6D61" w:rsidRDefault="002B6D61" w:rsidP="002B6D61">
      <w:pPr>
        <w:pStyle w:val="Recuodecorpodetexto"/>
        <w:spacing w:line="360" w:lineRule="auto"/>
        <w:ind w:left="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ab/>
      </w:r>
      <w:r w:rsidR="00713B03" w:rsidRPr="002B6D61">
        <w:rPr>
          <w:rFonts w:ascii="Arial" w:hAnsi="Arial" w:cs="Arial"/>
          <w:sz w:val="24"/>
          <w:szCs w:val="24"/>
          <w:lang w:val="pt-BR"/>
        </w:rPr>
        <w:t>P</w:t>
      </w:r>
      <w:r w:rsidR="00821D15" w:rsidRPr="002B6D61">
        <w:rPr>
          <w:rFonts w:ascii="Arial" w:hAnsi="Arial" w:cs="Arial"/>
          <w:sz w:val="24"/>
          <w:szCs w:val="24"/>
          <w:lang w:val="pt-BR"/>
        </w:rPr>
        <w:t>ede</w:t>
      </w:r>
      <w:r w:rsidR="00713B03" w:rsidRPr="002B6D61">
        <w:rPr>
          <w:rFonts w:ascii="Arial" w:hAnsi="Arial" w:cs="Arial"/>
          <w:sz w:val="24"/>
          <w:szCs w:val="24"/>
          <w:lang w:val="pt-BR"/>
        </w:rPr>
        <w:t xml:space="preserve"> Deferimento</w:t>
      </w:r>
    </w:p>
    <w:p w14:paraId="7509C6CA" w14:textId="77777777" w:rsidR="00821D15" w:rsidRPr="002B6D61" w:rsidRDefault="002B6D61" w:rsidP="002B6D6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B6D61">
        <w:rPr>
          <w:rFonts w:ascii="Arial" w:hAnsi="Arial" w:cs="Arial"/>
          <w:sz w:val="24"/>
          <w:szCs w:val="24"/>
        </w:rPr>
        <w:t>Local e data.</w:t>
      </w:r>
    </w:p>
    <w:p w14:paraId="131C34DD" w14:textId="77777777" w:rsidR="00821D15" w:rsidRPr="002B6D61" w:rsidRDefault="00821D15" w:rsidP="002B6D61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C24B0F7" w14:textId="77777777" w:rsidR="00821D15" w:rsidRPr="002B6D61" w:rsidRDefault="00821D15" w:rsidP="002B6D61">
      <w:pPr>
        <w:rPr>
          <w:rFonts w:ascii="Arial" w:hAnsi="Arial" w:cs="Arial"/>
          <w:b/>
          <w:sz w:val="24"/>
          <w:szCs w:val="24"/>
        </w:rPr>
      </w:pPr>
    </w:p>
    <w:p w14:paraId="66A5D3C9" w14:textId="77777777" w:rsidR="00821D15" w:rsidRDefault="002B6D61" w:rsidP="002B6D6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ADVOGADO</w:t>
      </w:r>
    </w:p>
    <w:p w14:paraId="02BAC0FB" w14:textId="77777777" w:rsidR="002B6D61" w:rsidRPr="002B6D61" w:rsidRDefault="002B6D61" w:rsidP="002B6D6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OAB/XX XX.XXX</w:t>
      </w:r>
    </w:p>
    <w:p w14:paraId="518A136E" w14:textId="77777777" w:rsidR="00713B03" w:rsidRPr="002B6D61" w:rsidRDefault="00713B03" w:rsidP="002B6D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13B03" w:rsidRPr="002B6D61" w:rsidSect="002A55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7" w:right="1701" w:bottom="141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35752" w14:textId="77777777" w:rsidR="00E129EB" w:rsidRDefault="00E129EB">
      <w:r>
        <w:separator/>
      </w:r>
    </w:p>
  </w:endnote>
  <w:endnote w:type="continuationSeparator" w:id="0">
    <w:p w14:paraId="25145698" w14:textId="77777777" w:rsidR="00E129EB" w:rsidRDefault="00E1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0F7A" w14:textId="77777777" w:rsidR="008D5210" w:rsidRDefault="008D52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4D6C" w14:textId="26A6855A" w:rsidR="008D5210" w:rsidRPr="008D5210" w:rsidRDefault="008D5210" w:rsidP="008D521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1FCC5" w14:textId="77777777" w:rsidR="008D5210" w:rsidRDefault="008D52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5049" w14:textId="77777777" w:rsidR="00E129EB" w:rsidRDefault="00E129EB">
      <w:r>
        <w:separator/>
      </w:r>
    </w:p>
  </w:footnote>
  <w:footnote w:type="continuationSeparator" w:id="0">
    <w:p w14:paraId="6FA8A6B3" w14:textId="77777777" w:rsidR="00E129EB" w:rsidRDefault="00E12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F7A1" w14:textId="77777777" w:rsidR="008D5210" w:rsidRDefault="008D52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F653" w14:textId="192E7761" w:rsidR="008D5210" w:rsidRPr="008D5210" w:rsidRDefault="008D5210" w:rsidP="008D521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3B23" w14:textId="77777777" w:rsidR="008D5210" w:rsidRDefault="008D52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32D"/>
    <w:rsid w:val="00146DF2"/>
    <w:rsid w:val="002701F9"/>
    <w:rsid w:val="002A5528"/>
    <w:rsid w:val="002B6D61"/>
    <w:rsid w:val="00325136"/>
    <w:rsid w:val="003E4395"/>
    <w:rsid w:val="004752BA"/>
    <w:rsid w:val="005C298D"/>
    <w:rsid w:val="0060155D"/>
    <w:rsid w:val="00713B03"/>
    <w:rsid w:val="007B7C4F"/>
    <w:rsid w:val="007F3D96"/>
    <w:rsid w:val="00821D15"/>
    <w:rsid w:val="008D5210"/>
    <w:rsid w:val="00A22B9A"/>
    <w:rsid w:val="00AA63B3"/>
    <w:rsid w:val="00C7171A"/>
    <w:rsid w:val="00CB345D"/>
    <w:rsid w:val="00D178E7"/>
    <w:rsid w:val="00D5332D"/>
    <w:rsid w:val="00E129EB"/>
    <w:rsid w:val="00E66440"/>
    <w:rsid w:val="00F1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9D42D9F"/>
  <w15:chartTrackingRefBased/>
  <w15:docId w15:val="{53AB362B-1A02-4D01-9416-B59E2C82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B03"/>
  </w:style>
  <w:style w:type="paragraph" w:styleId="Ttulo1">
    <w:name w:val="heading 1"/>
    <w:basedOn w:val="Normal"/>
    <w:next w:val="Normal"/>
    <w:qFormat/>
    <w:rsid w:val="00F12B03"/>
    <w:pPr>
      <w:keepNext/>
      <w:jc w:val="center"/>
      <w:outlineLvl w:val="0"/>
    </w:pPr>
    <w:rPr>
      <w:sz w:val="28"/>
      <w:lang w:val="en-US"/>
    </w:rPr>
  </w:style>
  <w:style w:type="paragraph" w:styleId="Ttulo2">
    <w:name w:val="heading 2"/>
    <w:basedOn w:val="Normal"/>
    <w:next w:val="Normal"/>
    <w:qFormat/>
    <w:rsid w:val="00F12B03"/>
    <w:pPr>
      <w:keepNext/>
      <w:jc w:val="both"/>
      <w:outlineLvl w:val="1"/>
    </w:pPr>
    <w:rPr>
      <w:sz w:val="28"/>
    </w:rPr>
  </w:style>
  <w:style w:type="paragraph" w:styleId="Ttulo3">
    <w:name w:val="heading 3"/>
    <w:basedOn w:val="Normal"/>
    <w:next w:val="Normal"/>
    <w:qFormat/>
    <w:rsid w:val="00F12B03"/>
    <w:pPr>
      <w:keepNext/>
      <w:jc w:val="center"/>
      <w:outlineLvl w:val="2"/>
    </w:pPr>
    <w:rPr>
      <w:sz w:val="2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F12B03"/>
    <w:pPr>
      <w:jc w:val="both"/>
    </w:pPr>
    <w:rPr>
      <w:sz w:val="28"/>
      <w:lang w:val="en-US"/>
    </w:rPr>
  </w:style>
  <w:style w:type="paragraph" w:styleId="Recuodecorpodetexto">
    <w:name w:val="Body Text Indent"/>
    <w:basedOn w:val="Normal"/>
    <w:rsid w:val="00F12B03"/>
    <w:pPr>
      <w:ind w:left="1416"/>
      <w:jc w:val="both"/>
    </w:pPr>
    <w:rPr>
      <w:sz w:val="28"/>
      <w:lang w:val="en-US"/>
    </w:rPr>
  </w:style>
  <w:style w:type="paragraph" w:styleId="NormalWeb">
    <w:name w:val="Normal (Web)"/>
    <w:basedOn w:val="Normal"/>
    <w:rsid w:val="00713B03"/>
    <w:pPr>
      <w:spacing w:before="100" w:beforeAutospacing="1" w:after="100" w:afterAutospacing="1"/>
    </w:pPr>
    <w:rPr>
      <w:sz w:val="24"/>
      <w:szCs w:val="24"/>
    </w:rPr>
  </w:style>
  <w:style w:type="character" w:styleId="nfase">
    <w:name w:val="Emphasis"/>
    <w:qFormat/>
    <w:rsid w:val="002701F9"/>
    <w:rPr>
      <w:i/>
      <w:iCs/>
    </w:rPr>
  </w:style>
  <w:style w:type="paragraph" w:styleId="Cabealho">
    <w:name w:val="header"/>
    <w:basedOn w:val="Normal"/>
    <w:rsid w:val="00E6644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6644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2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7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1545</Words>
  <Characters>8349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>EXM</vt:lpstr>
      <vt:lpstr>Nestes Termos</vt:lpstr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</dc:title>
  <dc:subject/>
  <dc:creator>Usuário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