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926A" w14:textId="77777777" w:rsidR="00710AF9" w:rsidRDefault="00710AF9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RECLAMAÇÃO DE VÍCIO DE PRODUTO DURÁVEL PELA DECADÊNCIA (Art. 26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0857BA70" w14:textId="77777777" w:rsidR="00710AF9" w:rsidRDefault="00710AF9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RÉ</w:t>
      </w:r>
      <w:r>
        <w:rPr>
          <w:rFonts w:ascii="Arial" w:hAnsi="Arial" w:cs="Arial"/>
          <w:color w:val="000000"/>
          <w:sz w:val="15"/>
          <w:szCs w:val="15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por seu procurador infra-assinado, mandato anexo (doc. 1), vem, respeitosamente, a presença de Vossa Excelência apresentar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28980A92" w14:textId="77777777" w:rsidR="00710AF9" w:rsidRDefault="00710AF9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CONTESTAÇÃO À AÇÃO DE RECLAMAÇÃO DE VÍCIO DE PRODUTO DURÁVEL </w:t>
      </w:r>
    </w:p>
    <w:p w14:paraId="6BDA3923" w14:textId="77777777" w:rsidR="00710AF9" w:rsidRDefault="00710AF9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 xml:space="preserve"> reclama de defeito pré-existente de desgaste na pintura do bem que adquiriu na sede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</w:t>
      </w:r>
      <w:r>
        <w:rPr>
          <w:rFonts w:ascii="Arial" w:hAnsi="Arial" w:cs="Arial"/>
          <w:color w:val="000000"/>
          <w:sz w:val="15"/>
          <w:szCs w:val="15"/>
        </w:rPr>
        <w:t>, um móvel da cor (xxx), dimensões (xxx) e características (xxx).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Caso o defeito já existisse na época da compra, como alega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>, seria de fácil verificação, pois a parte do móvel defeituosa é a porta frontal, posto que tal alegação não tem fundamento. Além disso, tal problema não adveio da qualidade da tinta utilizada, uma vez que em todo o móvel é utilizada a mesma tinta, só havendo dano em pequena parte do móvel, podendo este ter aparecido por mal uso ou limpeza inadequada, apenas para citar exemplos.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Outro ponto, e talvez o mais relevante, é que a ação foi proposta no dia (xxx), e a compra ocorreu no dia (xxx), conforme se verifica pela cópia da nota fiscal em anexo (doc. 2), ou seja, transcorreram mais de 90 dias entre a aquisição e a reclamação, posto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AUTOR </w:t>
      </w:r>
      <w:r>
        <w:rPr>
          <w:rFonts w:ascii="Arial" w:hAnsi="Arial" w:cs="Arial"/>
          <w:color w:val="000000"/>
          <w:sz w:val="15"/>
          <w:szCs w:val="15"/>
        </w:rPr>
        <w:t>decaiu do direito de reclamar segundo o disposto no inciso II do artigo 26 do Código de Defesa do Consumidor.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Seja arquivado o feito, sem exame do pedido, pela decadência.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710A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6517F" w14:textId="77777777" w:rsidR="00190DB7" w:rsidRDefault="00190DB7" w:rsidP="00190DB7">
      <w:r>
        <w:separator/>
      </w:r>
    </w:p>
  </w:endnote>
  <w:endnote w:type="continuationSeparator" w:id="0">
    <w:p w14:paraId="0510C2F8" w14:textId="77777777" w:rsidR="00190DB7" w:rsidRDefault="00190DB7" w:rsidP="00190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4009A" w14:textId="77777777" w:rsidR="00190DB7" w:rsidRDefault="00190D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35B99" w14:textId="50D41AB9" w:rsidR="00190DB7" w:rsidRPr="00190DB7" w:rsidRDefault="00190DB7" w:rsidP="00190DB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30E3" w14:textId="77777777" w:rsidR="00190DB7" w:rsidRDefault="00190D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AB37D" w14:textId="77777777" w:rsidR="00190DB7" w:rsidRDefault="00190DB7" w:rsidP="00190DB7">
      <w:r>
        <w:separator/>
      </w:r>
    </w:p>
  </w:footnote>
  <w:footnote w:type="continuationSeparator" w:id="0">
    <w:p w14:paraId="02ED59E8" w14:textId="77777777" w:rsidR="00190DB7" w:rsidRDefault="00190DB7" w:rsidP="00190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B1AE6" w14:textId="77777777" w:rsidR="00190DB7" w:rsidRDefault="00190D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0CD9" w14:textId="14B7235B" w:rsidR="00190DB7" w:rsidRPr="00190DB7" w:rsidRDefault="00190DB7" w:rsidP="00190DB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30EA1" w14:textId="77777777" w:rsidR="00190DB7" w:rsidRDefault="00190DB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AF9"/>
    <w:rsid w:val="00190DB7"/>
    <w:rsid w:val="0071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8548C3"/>
  <w15:chartTrackingRefBased/>
  <w15:docId w15:val="{FF06E4CB-0AC8-46F7-93C7-5EDCE549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190D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DB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90D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0D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RECLAMAÇÃO DE VÍCIO DE PRODUTO DURÁVEL PELA DECADÊNCIA (Art</vt:lpstr>
    </vt:vector>
  </TitlesOfParts>
  <Company>jorge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RECLAMAÇÃO DE VÍCIO DE PRODUTO DURÁVEL PELA DECADÊNCIA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