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9E4D6" w14:textId="77777777" w:rsidR="004A4843" w:rsidRDefault="004A4843" w:rsidP="004A484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CONTRA-RAZÕES AO RECURSO DE APELAÇÃO - RECEPTAÇÂO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62CB384" w14:textId="77777777" w:rsidR="004A4843" w:rsidRDefault="004A4843" w:rsidP="004A4843">
      <w:pPr>
        <w:pStyle w:val="NormalWeb"/>
        <w:rPr>
          <w:rStyle w:val="Forte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Criminal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APELADO</w:t>
      </w:r>
      <w:r>
        <w:rPr>
          <w:rFonts w:ascii="Arial" w:hAnsi="Arial" w:cs="Arial"/>
          <w:color w:val="000000"/>
          <w:sz w:val="17"/>
          <w:szCs w:val="17"/>
        </w:rPr>
        <w:t xml:space="preserve">, já qualificado, por seu advogado infra-assinado, nos autos do processo crime em epígrafe, em curso perante este d. juízo, em atenção ao r. despacho de fls. (xxx), e ao recurso do Ministério Público, vem, </w:t>
      </w:r>
      <w:r>
        <w:rPr>
          <w:rFonts w:ascii="Arial" w:hAnsi="Arial" w:cs="Arial"/>
          <w:i/>
          <w:iCs/>
          <w:color w:val="000000"/>
          <w:sz w:val="17"/>
          <w:szCs w:val="17"/>
        </w:rPr>
        <w:t>tempestivamente</w:t>
      </w:r>
      <w:r>
        <w:rPr>
          <w:rFonts w:ascii="Arial" w:hAnsi="Arial" w:cs="Arial"/>
          <w:color w:val="000000"/>
          <w:sz w:val="17"/>
          <w:szCs w:val="17"/>
        </w:rPr>
        <w:t>, expor as suas contra-razões de apelação e requerer sejam encaminhadas ao Egrégio Tribunal de (XXX), para as finalidades de direito.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</w:t>
      </w:r>
    </w:p>
    <w:p w14:paraId="2BEFBDA0" w14:textId="77777777" w:rsidR="004A4843" w:rsidRDefault="004A4843" w:rsidP="004A4843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</w:rPr>
        <w:t>EGRÉGIO TRIBUNAL</w:t>
      </w:r>
    </w:p>
    <w:p w14:paraId="274A618B" w14:textId="77777777" w:rsidR="004A4843" w:rsidRDefault="004A4843" w:rsidP="004A4843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>Não procedem as razões de apelação e o pedido de reforma da sentença. Embora a defesa tenha admiração pelo zeloso representante do Ministério Público, não concorda com sua posição, ressaltando a brilhante decisão do magistrado monocrático.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pedido do apelante não pode prosperar, uma vez que as provas carreadas aos autos são insípidas não contendo nenhum fomento probatório favorável à pretensão recursal. Ademais, como claramente nos mostra a nossa jurisprudência para haver a receptação é necessário que o agente saiba, tenha ciência da proveniência delituosa dos objetos: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"Não há receptação sem a ciência, do agente, da proveniência delituosa dos objetos: e por ciência entende-se aqui não uma vaga noção que oscila entre a suspeita e a certeza, mas sim, a plena certeza da origem impura das coisas receptadas. A suspeita e a dúvida não bastam, e se dúvida houver, esta é valorada em favor do Réu".</w:t>
      </w:r>
      <w:r>
        <w:rPr>
          <w:rFonts w:ascii="Arial" w:hAnsi="Arial" w:cs="Arial"/>
          <w:color w:val="000000"/>
          <w:sz w:val="17"/>
          <w:szCs w:val="17"/>
        </w:rPr>
        <w:t xml:space="preserve"> (TACRIM-SP-AC-reL. Silva Franco-JUTACRIM 81/84).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No caso em tela, o Réu não tinha conhecimento da procedência do bem, salientando que o mesmo não adquiriu, recebeu, transportou, conduziu ou ocultou, em proveito próprio ou de outrem, bem que soubesse ser proveniente de crime, assim como não influenciou para que terceiro de boa-fé, recebesse, ocultasse ou adquirisse o mesmo.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"O Direito Penal não opera com conjecturas ou probabilidades. Sem certeza total e plena da autoria e da culpabilidade, não pode o Juiz criminal proferir condenação"</w:t>
      </w:r>
      <w:r>
        <w:rPr>
          <w:rFonts w:ascii="Arial" w:hAnsi="Arial" w:cs="Arial"/>
          <w:color w:val="000000"/>
          <w:sz w:val="17"/>
          <w:szCs w:val="17"/>
        </w:rPr>
        <w:t>.(Ap. 160.097, TACrimSo, Rel. Gonçalves Sobrinho).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negado provimento ao recurso interposto pelo Ministério Público, mantendo-se a irretocável decisão do douto Julgador do feito.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4A48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45CD3" w14:textId="77777777" w:rsidR="0087222E" w:rsidRDefault="0087222E" w:rsidP="0087222E">
      <w:r>
        <w:separator/>
      </w:r>
    </w:p>
  </w:endnote>
  <w:endnote w:type="continuationSeparator" w:id="0">
    <w:p w14:paraId="4B61CE7F" w14:textId="77777777" w:rsidR="0087222E" w:rsidRDefault="0087222E" w:rsidP="00872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BC77B" w14:textId="77777777" w:rsidR="0087222E" w:rsidRDefault="008722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9D30A" w14:textId="71D99F8E" w:rsidR="0087222E" w:rsidRPr="0087222E" w:rsidRDefault="0087222E" w:rsidP="008722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B7040" w14:textId="77777777" w:rsidR="0087222E" w:rsidRDefault="008722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7240D" w14:textId="77777777" w:rsidR="0087222E" w:rsidRDefault="0087222E" w:rsidP="0087222E">
      <w:r>
        <w:separator/>
      </w:r>
    </w:p>
  </w:footnote>
  <w:footnote w:type="continuationSeparator" w:id="0">
    <w:p w14:paraId="76712EA2" w14:textId="77777777" w:rsidR="0087222E" w:rsidRDefault="0087222E" w:rsidP="00872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E18D" w14:textId="77777777" w:rsidR="0087222E" w:rsidRDefault="008722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9ED88" w14:textId="1A8B6CCC" w:rsidR="0087222E" w:rsidRPr="0087222E" w:rsidRDefault="0087222E" w:rsidP="008722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85044B" w14:textId="77777777" w:rsidR="0087222E" w:rsidRDefault="008722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4843"/>
    <w:rsid w:val="001371CB"/>
    <w:rsid w:val="004A4843"/>
    <w:rsid w:val="0087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30A1D4"/>
  <w15:chartTrackingRefBased/>
  <w15:docId w15:val="{ECF15724-FA6E-4C8A-84EF-1C93DF26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A4843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4A4843"/>
    <w:rPr>
      <w:b/>
      <w:bCs/>
    </w:rPr>
  </w:style>
  <w:style w:type="paragraph" w:styleId="Cabealho">
    <w:name w:val="header"/>
    <w:basedOn w:val="Normal"/>
    <w:link w:val="CabealhoChar"/>
    <w:rsid w:val="008722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87222E"/>
    <w:rPr>
      <w:sz w:val="24"/>
      <w:szCs w:val="24"/>
    </w:rPr>
  </w:style>
  <w:style w:type="paragraph" w:styleId="Rodap">
    <w:name w:val="footer"/>
    <w:basedOn w:val="Normal"/>
    <w:link w:val="RodapChar"/>
    <w:rsid w:val="008722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8722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5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CONTRA-RAZÕES AO RECURSO DE APELAÇÃO - RECEPTAÇÂO </vt:lpstr>
    </vt:vector>
  </TitlesOfParts>
  <Company>MicroHardware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CONTRA-RAZÕES AO RECURSO DE APELAÇÃO - RECEPTAÇÂO 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