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6290D" w14:textId="77777777" w:rsidR="002C3E83" w:rsidRDefault="002C3E83" w:rsidP="002C3E83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DESISTÊNCIA DA AÇÃO (Art. 158 do Código de Processo Civil)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0FD1A99F" w14:textId="77777777" w:rsidR="002C3E83" w:rsidRDefault="002C3E83" w:rsidP="002C3E83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DO JUIZADO ESPECIAL CÍVEL DA COMARCA DE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i/>
          <w:iCs/>
          <w:color w:val="000000"/>
          <w:sz w:val="17"/>
          <w:szCs w:val="17"/>
        </w:rPr>
        <w:t>Autos n°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devidamente qualificada nos autos do processo em epígrafe, vem, através dos seus procurados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fine</w:t>
      </w:r>
      <w:r>
        <w:rPr>
          <w:rFonts w:ascii="Arial" w:hAnsi="Arial" w:cs="Arial"/>
          <w:color w:val="000000"/>
          <w:sz w:val="17"/>
          <w:szCs w:val="17"/>
        </w:rPr>
        <w:t xml:space="preserve"> assinados, à presença de V.Excia., fazer as seguintes considerações para ao final requerer o que de direito: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Conforme se pode facilmente aduzir, é patente a extrema complexidade da presente demanda, necessitando, em lógica decorrência, de cuidados minudenciados, de uma apuração mais exaustiva, sendo imprescindível a prova pericial, procedimento este alheio à competência dos Juizados Especiais.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Assim, não se pode olvidar que o caso em apreço é demasiado complexo para que se permita a sua contemplação por este ínclito Juízo.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Ademais, vislumbra-se a possibilidade de se configurar no pólo passivo uma pessoa jurídica de direito público, sendo decorrente a incompetência deste r. Juízo, em virtude do fato de que as causas nas quais haja interesse da União, do Estado e do Município, não são julgadas pelos Juizados Especiais.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Desta feita, em razão dos motivos acima expostos, requer-se a homologação da desistência da ação, nos termos do art. 158 do Código de Processo Civil.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Termos que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(Local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796500B1" w14:textId="77777777" w:rsidR="002C3E83" w:rsidRDefault="002C3E83"/>
    <w:sectPr w:rsidR="002C3E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64998" w14:textId="77777777" w:rsidR="00071A6B" w:rsidRDefault="00071A6B" w:rsidP="00071A6B">
      <w:r>
        <w:separator/>
      </w:r>
    </w:p>
  </w:endnote>
  <w:endnote w:type="continuationSeparator" w:id="0">
    <w:p w14:paraId="59626A85" w14:textId="77777777" w:rsidR="00071A6B" w:rsidRDefault="00071A6B" w:rsidP="00071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FAAA9" w14:textId="77777777" w:rsidR="00071A6B" w:rsidRDefault="00071A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2B0D8" w14:textId="670EBCDF" w:rsidR="00071A6B" w:rsidRPr="00071A6B" w:rsidRDefault="00071A6B" w:rsidP="00071A6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91E40" w14:textId="77777777" w:rsidR="00071A6B" w:rsidRDefault="00071A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BC0C53" w14:textId="77777777" w:rsidR="00071A6B" w:rsidRDefault="00071A6B" w:rsidP="00071A6B">
      <w:r>
        <w:separator/>
      </w:r>
    </w:p>
  </w:footnote>
  <w:footnote w:type="continuationSeparator" w:id="0">
    <w:p w14:paraId="76637341" w14:textId="77777777" w:rsidR="00071A6B" w:rsidRDefault="00071A6B" w:rsidP="00071A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235D3" w14:textId="77777777" w:rsidR="00071A6B" w:rsidRDefault="00071A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E28B4" w14:textId="12A1DFAD" w:rsidR="00071A6B" w:rsidRPr="00071A6B" w:rsidRDefault="00071A6B" w:rsidP="00071A6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0ECE6" w14:textId="77777777" w:rsidR="00071A6B" w:rsidRDefault="00071A6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3E83"/>
    <w:rsid w:val="00071A6B"/>
    <w:rsid w:val="002C3E83"/>
    <w:rsid w:val="00710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14FDFF"/>
  <w15:chartTrackingRefBased/>
  <w15:docId w15:val="{10F04EA3-5E52-4D76-B45A-C3B118D87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2C3E83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071A6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071A6B"/>
    <w:rPr>
      <w:sz w:val="24"/>
      <w:szCs w:val="24"/>
    </w:rPr>
  </w:style>
  <w:style w:type="paragraph" w:styleId="Rodap">
    <w:name w:val="footer"/>
    <w:basedOn w:val="Normal"/>
    <w:link w:val="RodapChar"/>
    <w:rsid w:val="00071A6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071A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DESISTÊNCIA DA AÇÃO (Art</vt:lpstr>
    </vt:vector>
  </TitlesOfParts>
  <Company>MicroHardware</Company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DESISTÊNCIA DA AÇÃO (Art</dc:title>
  <dc:subject/>
  <dc:creator>Jorge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2023-11-05T21:10:00Z</dcterms:modified>
</cp:coreProperties>
</file>