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EMBARGOS DE TERCEIRO - NOVO CPC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 _________, nº __, Bairro _________, na Cidade de _________, CEP _____-___, por seu representante infra-assinado, que receberá as intimações na Rua _________, nº __, Bairro _________, na Cidade de _________, CEP _____-___, e-mail __________ (doc. 1), vem, perante Vossa Excelência, propor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EMBARGOS DE TERCEIRO,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com fulcro nos arts. 674 e ss. Do CPC/2015 contra __________, brasileiro, casado, (profissão), RG nº __________/SSP, CPF nº ___.___.___-__, Nascido em __/__/__, Filiação __________ e __________, Residente na Rua __________, nº __, Bairro __________, na Cidade de __________, CEP _____-___, pelas razões que passa a expor: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O Embargado é autor na Ação de __________, processo nº ____________, contra __________, brasileiro, casado, (profissão), RG nº __________/SSP, CPF nº ___.___.___-__, Nascido em __/__/__, Filiação __________ e __________, Residente na Rua __________, nº __, Bairro __________, na Cidade de __________, CEP _____-___ (doc. 2).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O mesmo requereu a penhora, a qual ocorreu em __/__/__, de um caminhão marca __________, modelo _________, ano ___, placa __________, chassi nº __________, o qual se encontra registrado em nome de _____ (doc. 3).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Ocorre que o Embargante adquiriu o bem descrito do Réu por meio de contrato de compra e venda, no dia __/__/__, pelo valor à vista de R$ ______,__ (doc. 4).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Por essa razão, foi o Embargante privado do livre gozo de sua propriedade, art. 1.228 do CC, além de não poder providenciar a transferência do veículo para o seu nome.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"Art. 1.228.  O proprietário tem a faculdade de usar, gozar e dispor da coisa, e o direito de reavê-la do poder de quem quer que injustamente a possua ou detenha."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 xml:space="preserve">Cabe ressaltar o art. 1.267 do CC, que traz que a transferência de bem móvel se opera pela tradição, a qual, como já demonstrado, ocorreu em __/__/__. 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lastRenderedPageBreak/>
        <w:t>"Art. 1.267.  A propriedade das coisas não se transfere pelos negócios jurídicos antes da tradição."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Além do mais, na época do negócio inexistia qualquer ação judicial ou protesto contra o vendedor (doc. 5).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Ainda que, pendente a transferência perante o órgão de trânsito, desde que tenha boa-fé, efetivando-se a transferência de propriedade de bem móvel pela simples tradição, não invalida o negócio jurídico nem os efeitos dele decorrentes, conforme julgados dos tribunais pátrios: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PROCESSUAL CIVIL - TRIBUTÁRIO - EXECUÇÃO FISCAL - EMBARGOS DE TERCEIRO - ALIENAÇÃO DE VEÍCULO - TRADIÇÃO - PRESUNÇÃO DE BOA-FÉ - FRAUDE À EXECUÇÃO - INEXISTÊNCIA. A) RECURSO - APELAÇÃO EM EMBARGOS DE TERCEIRO. B) DECISÃO DE ORIGEM - JULGADO PROCEDENTE O PEDIDO. 1 - Consoante entendimento jurisprudencial, efetivando-se a transferência de propriedade de bem móvel pela simples tradição, a falta de comunicação ao órgão de trânsito da alienação do domínio de veículo não invalida o negócio jurídico nem os efeitos dele decorrentes, afastada a presunção de fraude à Execução se a penhora não fora levada a registro antes da sua realização, menos ainda, se o Documento Único de Transferência - DUT fora apresentado ao órgão de trânsito e expedido Certificado de Propriedade de Veículo ao novo proprietário. 2 - Apelação e Remessa Oficial denegadas. 3 - Sentença confirmada. (Apelação Cível nº 0026950-75.2000.4.01.3300/BA, 7ª Turma do TRF da 1ª Região, Rel. Catão Alves. J. 26.10.2010, e-DJF1 12.11.2010, p. 333).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EMBARGOS DE TERCEIRO. CONSTRIÇÃO DE VEÍCULO. COMPROVAÇÃO DE TRADIÇÃO DO BEM AO EMBARGANTE ANTES DA PENHORA. POSSE COM "ANIMUS DOMINI". DESCABIMENTO DA PENHORA. 1. O embargante comprovou ter a posse do veículo, com "animus domini", desde pelo menos 27 de julho de 2000, em face de dação em pagamento de dívida trabalhista, na Reclamação 1.087/00, da Vara do Trabalho de Batatais - SP. 2. A penhora ocorreu somente em 07 de agosto de 2000, sendo que o embargante foi nomeado fiel depositário. 3. Não há dúvida de que já havia ocorrido a tradição do veículo ao embargante, que se tornou o seu possuidor, ainda que não tenha promovido a transferência no departamento de trânsito, o que retira este bem do patrimônio da executada e o exclui da possibilidade de penhora. 4. Todavia, não pode a embargada arcar com os ônus da sucumbência, uma vez que a constrição somente ocorreu em face da omissão do embargante em providenciar a transferência do veículo para o seu nome. 5. Apelação improvida. 6. Parcial provimento à remessa oficial para isentar a União dos ônus da sucumbência. (Apelação/Reexame Necessário nº 0036233-16.2001.4.03.9999/SP, 3ª Turma do TRF da 3ª Região, Rel. Márcio Moraes. J. 10.02.2011, unânime, DE 18.02.2011).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 xml:space="preserve">PROCESSUAL CIVIL. EMBARGOS DE TERCEIRO. AQUISIÇÃO DE VEÍCULO. RESTRIÇÃO RENAJUD. TRADIÇÃO ANTES DA CONSTRIÇÃO. MÁ-FÉ DO TERCEIRO ADQUIRENTE NÃO COMPROVADA. 1. O bloqueio judicial imposto sobre o veículo adquirido pelo embargante equivale à turbação da posse do bem, à medida que impede sua transferência no departamento de trânsito e corresponde a ato preparatório para realização da apreensão. Diante disso, afigura-se legítimo e justificado o interesse processual de agir do autor quando pretende obter por meio de Embargos de Terceiros a liberação da restrição que lhe foi imposta por medida judicial. 2. Não há prova ou indícios de ter havido má-fé ou conluio do adquirente com a revendedora do automóvel. 3. Recurso parcialmente </w:t>
      </w:r>
      <w:r>
        <w:rPr>
          <w:lang w:val="en-US"/>
        </w:rPr>
        <w:lastRenderedPageBreak/>
        <w:t>provido. (Apelação Cível nº 20140110260803 (904666), 5ª Turma Cível do TJDFT, Rel. Josaphá Francisco dos Santos. J. 28.10.2015, Dje 11.11.2015).</w:t>
      </w: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(grifos meus).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DOS REQUERIMENTOS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ANTE O EXPOSTO, requer, com fulcro no art. 678 do CPC/21015, que Vossa Excelência determine a suspensão das medidas constritivas do bem, e expeça, em favor do Embargante, mandado de manutenção de posse.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Requer ainda, a citação do Embargado, para que, querendo, conteste essa ação, no prazo legal.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Por fim, espera que os embargos sejam julgados totalmente procedentes, cancelando-se assim, a constrição, e condenando-se o Embargado nas custas e despesas processuais e honorários advocatícios em 20%, sob o valor da causa.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Atribui-se à causa o valor de R$ ______,__ (_________ reais).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ED5C5B" w:rsidRDefault="00ED5C5B">
      <w:pPr>
        <w:widowControl/>
        <w:rPr>
          <w:lang w:val="en-US"/>
        </w:rPr>
      </w:pPr>
    </w:p>
    <w:p w:rsidR="00ED5C5B" w:rsidRDefault="00ED5C5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ED5C5B" w:rsidRDefault="00ED5C5B">
      <w:pPr>
        <w:widowControl/>
        <w:rPr>
          <w:lang w:val="en-US"/>
        </w:rPr>
      </w:pPr>
    </w:p>
    <w:sectPr w:rsidR="00ED5C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632CD" w:rsidRDefault="00D632CD" w:rsidP="00D632CD">
      <w:r>
        <w:separator/>
      </w:r>
    </w:p>
  </w:endnote>
  <w:endnote w:type="continuationSeparator" w:id="0">
    <w:p w:rsidR="00D632CD" w:rsidRDefault="00D632CD" w:rsidP="00D63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32CD" w:rsidRDefault="00D632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32CD" w:rsidRPr="00D632CD" w:rsidRDefault="00D632CD" w:rsidP="00D632C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32CD" w:rsidRDefault="00D632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632CD" w:rsidRDefault="00D632CD" w:rsidP="00D632CD">
      <w:r>
        <w:separator/>
      </w:r>
    </w:p>
  </w:footnote>
  <w:footnote w:type="continuationSeparator" w:id="0">
    <w:p w:rsidR="00D632CD" w:rsidRDefault="00D632CD" w:rsidP="00D632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32CD" w:rsidRDefault="00D632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32CD" w:rsidRPr="00D632CD" w:rsidRDefault="00D632CD" w:rsidP="00D632C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32CD" w:rsidRDefault="00D632C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D5C5B"/>
    <w:rsid w:val="00D632CD"/>
    <w:rsid w:val="00ED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632C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632C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632C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632C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1026</Words>
  <Characters>5541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