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2E11" w:rsidRDefault="00672E11" w:rsidP="00672E1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EXCEÇÃO DE INCOMPETÊNCIA (Art. 112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72E11" w:rsidRDefault="00672E11" w:rsidP="00672E11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Autuado por dependência ao autos nº: (xxx)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inscrita no CPF sob o nº (xxx), residente e domiciliado à Rua (xxx), nº (xxx), Bairro (xxx), Cidade (xxx), Cep. (xxx), no Estado de (xxx), por seu procurador infra-assinado, vem à presença de V. Exa., interpor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</w:p>
    <w:p w:rsidR="00672E11" w:rsidRDefault="00672E11" w:rsidP="00672E1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EXCEÇÃO DE INCOMPETÊNCIA</w:t>
      </w:r>
    </w:p>
    <w:p w:rsidR="00672E11" w:rsidRDefault="00672E11" w:rsidP="00672E11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com fundamento no artigo 112 do Código de Processo Civil e pelos motivos que passa a expor: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ora requerido, após falecimento de seu pai, (XXX), intentou ação com o escopo de anular testamento deixado pelo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sob o fundamento de que o instrumento ultrapassou os bens disponíveis de seu pai, ferindo sua expectativa de direito na legítima.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em observação ao dispositivo legal artigo 96, § único, inciso II do Código de Processo Civil in verbis: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"Art. 96.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Parágrafo único. É, porém, competente o foro: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 - do lugar em que ocorreu o óbito se o autor da herança não tinha domicílio certo e possuía bens em lugares diferentes."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último domicílio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>, inclusive local do óbito, foi (xxx), conforme comprovantes em anexo, o que faz este Juizo incompetente para julgar a lide proposta.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Com efeito é a comarca de (xxx) a competente para dirimir a presente demanda, sendo o lugar onde faleceu e teve seu último domicílio em vida.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O processamento da presente exceção de incompetência em apartado, ordenando a suspensão da ação principal e, após ouvida a parte contrária, sejam as razões acatadas, remetendo os autos à Comarca de (xxx).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sectPr w:rsidR="00672E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77FA" w:rsidRDefault="00C377FA" w:rsidP="00C377FA">
      <w:r>
        <w:separator/>
      </w:r>
    </w:p>
  </w:endnote>
  <w:endnote w:type="continuationSeparator" w:id="0">
    <w:p w:rsidR="00C377FA" w:rsidRDefault="00C377FA" w:rsidP="00C3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Default="00C377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Pr="00C377FA" w:rsidRDefault="00C377FA" w:rsidP="00C377F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Default="00C377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77FA" w:rsidRDefault="00C377FA" w:rsidP="00C377FA">
      <w:r>
        <w:separator/>
      </w:r>
    </w:p>
  </w:footnote>
  <w:footnote w:type="continuationSeparator" w:id="0">
    <w:p w:rsidR="00C377FA" w:rsidRDefault="00C377FA" w:rsidP="00C3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Default="00C37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Pr="00C377FA" w:rsidRDefault="00C377FA" w:rsidP="00C377F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7FA" w:rsidRDefault="00C377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E11"/>
    <w:rsid w:val="00672E11"/>
    <w:rsid w:val="00C377FA"/>
    <w:rsid w:val="00E3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4AD7E-2A57-4F2D-A1AA-69F85F79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72E1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377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377FA"/>
    <w:rPr>
      <w:sz w:val="24"/>
      <w:szCs w:val="24"/>
    </w:rPr>
  </w:style>
  <w:style w:type="paragraph" w:styleId="Rodap">
    <w:name w:val="footer"/>
    <w:basedOn w:val="Normal"/>
    <w:link w:val="RodapChar"/>
    <w:rsid w:val="00C377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377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EXCEÇÃO DE INCOMPETÊNCIA (Art</vt:lpstr>
    </vt:vector>
  </TitlesOfParts>
  <Company>MicroHardware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EXCEÇÃO DE INCOMPETÊNCIA (Art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