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EXECUÇÃO PARA ENTREGA DE COISA INCERTA - NOVO CPC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legal infra-assinado, que receberá as intimações na Rua _________, nº __, Bairro _________, na Cidade de _________, CEP _____-___, e-mail __________ (doc. 1), vem, perante Vossa Excelência, com fulcro nos arts. 811 e ss. Do CPC/2015, promover a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EXECUÇÃO PARA ENTREGA DE COISA INCERTA,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contra ___________,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O Executado firmou um contrato garantido por anticrese, onde cabia ao Exequente entregar o imóvel ao credor, cedendo-lhe o direito de perceber, em compensação da dívida de R$ ____, os frutos e rendimentos da Fazenda Cafeeira "Nova Esperança", na safra de 2014/2015, contrato em anexo (doc. 2).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 Fazenda em questão, produz regularmente  ___ sacas por hectare do café conilon.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Ocorre que o Executado não cumpriu o que determinava o contrato, permanecendo ainda sob a posse do bem e inviabilizando a colheita. Entretanto, o contrato tem estipulado cláusula que determina a entrega de, no mínimo, ___ sacas de café do tipo conilon, até __/__/__.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Portanto, havendo interesse na entrega da coisa, requer que o Executado seja compelido a entregar as sacas de café, sob pena de multa diária na quantia de R$ ______,__ (________ reais).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O direito do executado fundamenta-se na lei, verbis: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Art. 784.  São títulos executivos extrajudiciais: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[...]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V - o contrato garantido por hipoteca, penhor, anticrese ou outro direito real de garantia e aquele garantido por caução;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[....]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lastRenderedPageBreak/>
        <w:t>Art. 811.  Quando a execução recair sobre coisa determinada pelo gênero e pela quantidade, o executado será citado para entrega-la individualizada, se lhe couber a escolha.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Parágrafo único.  Se a escolha couber ao exequente, esse deverá indicá-la na petição inicial.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Art. 813.  Aplicar-se-ão à execução para entrega de coisa incerta, no que couber, as disposições da Seção I deste Capítulo.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Art. 806.  O devedor de obrigação de entrega de coisa certa, constante de título executivo extrajudicial, será citado para, em 15 (quinze) dias, satisfazer a obrigação.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§ 1º  Ao despachar a inicial, o juiz poderá fixar multa por dia de atraso no cumprimento da obrigação, ficando o respectivo valor sujeito a alteração, caso se revele insuficiente ou excessivo.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§ 2º  Do mandado de citação constará ordem para imissão na posse ou busca e apreensão, conforme se tratar de bem imóvel ou móvel, cujo cumprimento se dará de imediato, se o executado não satisfizer a obrigação no prazo que lhe foi designado.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(Grifos meus)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DO PEDIDO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I) A citação do Executado, para que no prazo de 15 (quinze) dias, satisfaça a obrigação;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II) Que seja fixada multa diária em caso de atraso no valor de R$ _____,__, cf. § 1º do art. 806 do CPC/2015;</w:t>
      </w: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III) A condenação do Executado nos efeitos da sucumbência.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31531" w:rsidRDefault="00231531">
      <w:pPr>
        <w:widowControl/>
        <w:rPr>
          <w:lang w:val="en-US"/>
        </w:rPr>
      </w:pPr>
    </w:p>
    <w:p w:rsidR="00231531" w:rsidRDefault="0023153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31531" w:rsidRDefault="00231531">
      <w:pPr>
        <w:widowControl/>
        <w:rPr>
          <w:lang w:val="en-US"/>
        </w:rPr>
      </w:pPr>
    </w:p>
    <w:sectPr w:rsidR="002315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7AAC" w:rsidRDefault="00DA7AAC" w:rsidP="00DA7AAC">
      <w:r>
        <w:separator/>
      </w:r>
    </w:p>
  </w:endnote>
  <w:endnote w:type="continuationSeparator" w:id="0">
    <w:p w:rsidR="00DA7AAC" w:rsidRDefault="00DA7AAC" w:rsidP="00DA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Default="00DA7A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Pr="00DA7AAC" w:rsidRDefault="00DA7AAC" w:rsidP="00DA7AA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Default="00DA7A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7AAC" w:rsidRDefault="00DA7AAC" w:rsidP="00DA7AAC">
      <w:r>
        <w:separator/>
      </w:r>
    </w:p>
  </w:footnote>
  <w:footnote w:type="continuationSeparator" w:id="0">
    <w:p w:rsidR="00DA7AAC" w:rsidRDefault="00DA7AAC" w:rsidP="00DA7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Default="00DA7A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Pr="00DA7AAC" w:rsidRDefault="00DA7AAC" w:rsidP="00DA7AA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7AAC" w:rsidRDefault="00DA7A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1531"/>
    <w:rsid w:val="00231531"/>
    <w:rsid w:val="00DA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A7A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AA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7A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7AA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