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1AC2" w:rsidRDefault="00C21AC2">
      <w:pPr>
        <w:widowControl/>
        <w:rPr>
          <w:lang w:val="en-US"/>
        </w:rPr>
      </w:pP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IMPUGNAÇÃO AO PEDIDO DO EXECUTADO DE REUNIÃO DA AÇÃO DE EXECUÇÃO COM AÇÃO DE CONHECIMENTO (ANULATÓRIA) - NOVO CPC</w:t>
      </w:r>
    </w:p>
    <w:p w:rsidR="00C21AC2" w:rsidRDefault="00C21AC2">
      <w:pPr>
        <w:widowControl/>
        <w:rPr>
          <w:lang w:val="en-US"/>
        </w:rPr>
      </w:pPr>
    </w:p>
    <w:p w:rsidR="00C21AC2" w:rsidRDefault="00C21AC2">
      <w:pPr>
        <w:widowControl/>
        <w:rPr>
          <w:lang w:val="en-US"/>
        </w:rPr>
      </w:pP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Exmo. Sr. Dr. Juiz de Direito da (...)</w:t>
      </w:r>
    </w:p>
    <w:p w:rsidR="00C21AC2" w:rsidRDefault="00C21AC2">
      <w:pPr>
        <w:widowControl/>
        <w:rPr>
          <w:lang w:val="en-US"/>
        </w:rPr>
      </w:pPr>
    </w:p>
    <w:p w:rsidR="00C21AC2" w:rsidRDefault="00C21AC2">
      <w:pPr>
        <w:widowControl/>
        <w:rPr>
          <w:lang w:val="en-US"/>
        </w:rPr>
      </w:pPr>
    </w:p>
    <w:p w:rsidR="00C21AC2" w:rsidRDefault="00C21AC2">
      <w:pPr>
        <w:widowControl/>
        <w:rPr>
          <w:lang w:val="en-US"/>
        </w:rPr>
      </w:pPr>
    </w:p>
    <w:p w:rsidR="00C21AC2" w:rsidRDefault="00C21AC2">
      <w:pPr>
        <w:widowControl/>
        <w:rPr>
          <w:lang w:val="en-US"/>
        </w:rPr>
      </w:pP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Execução para entrega de coisa certa – Autos nº (...)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(...), já qualificado nos autos da execução para entrega de coisa certa que move em face de (...), vem, respeitosamente, perante Vossa Excelência, expor e requerer o quanto segue: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O executado aduz, em síntese, que “aforou ação declaratória de nulidade de ato jurídico”, em face do exequente, em (...), que a citação para a presente ação de execução se deu em (...) e, por tal razão, em virtude de “conexão” (sic), Vossa Excelência deveria “avocar” a ação ordinária perante a (...) Vara Cível para julgamento simultâneo.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Requer, ainda, o executado, a lavratura do termo de depósito para apresentação de embargos.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Não há o mínimo fundamento jurídico e legal para qualquer das absurdas pretensões perpetradas: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I – Pretensa reunião de ações para julgamento conjunto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Em verdade, acorde com os mandamentos insculpidos nos arts. 240 e 312 do Código de Processo Civil, a partir da distribuição desta ação executiva em (...), todos os efeitos do art. 240 passaram a ser verificados, vez que houve citação válida em (...).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 xml:space="preserve">Demais disso, não há falar-se em conexão de ação executiva com ação de conhecimento por uma simples razão jurídica: não há julgamento de mérito na ação de execução!  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Preleciona o grande Liebman, diferenciando o pedido do processo de conhecimento daquele do processo de execução, que se baseia no título executório: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 xml:space="preserve">Que determina inquestionavelmente – para os efeitos da execução – a regra sancionadora que deve ser efetivada: não cabe mais ao juiz julgar, mas, simplesmente, realizar as atividades decorrentes do conteúdo do título. O pedido do exequente visa provocar estas atividades. A tarefa do juiz consiste apenas em realizá-las. 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A jurisprudência é clara nesse sentido: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Segundo Tribunal de Alçada Civil de São Paulo. “Conexão – despejo cumulado com cobrança de alugueres em face do locatário e execução contra o fiador – inexistência. Inexiste conexão entre as ações de execução e de despejo, esta cumulada com pedido de cobrança dos aluguéis inadimplidos. E isto porque, não bastasse a diversidade das partes (apenas o credor figura como sujeito ativo em ambos os processos, figurando como passivos, respectivamente, fiador no processo de execução e a ex-locatária no de conhecimento), também são totalmente distintos os elementos objetivos e causais das ações em testilha. Mas mesmo que conexão houvesse, de modo algum acarretaria a reunião dos processos para os fins colimados pelo art. 105 do Código de Processo Civil [atual art. 57] (julgamento ‘simultaneus processus’), pela simples razão de que inexiste, no processo de execução, tal julgamento de mérito” (Apel. c/ Rev. nº 501.203 – 7ª Câm. – rel. Juiz Antonio Marcato – j. em 17.02.1998).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Primeiro Tribunal de Alçada Civil de São Paulo. “Conexão – pretensão à reunião de ações de execução e de conhecimento – impossibilidade – recurso desprovido. Anotações da Comissão: no mesmo sentido: AC 398.389-1, relator: Pinheiro Franco” (Agravo de Instrumento nº 397.088-0/00 – 8ª Câmara – 12.10.1988 – relator: Raphael Salvador, unânime).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II – Decurso, in albis, do prazo para entrega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lastRenderedPageBreak/>
        <w:t>Outrossim, verifica-se que não houve a necessária entrega, que pressupõe a desocupação, o desapossamento do bem nos termos do art. 806 do Código de Processo Civil.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III – Requerimento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Isto posto, requer-se o prosseguimento da presente execução, já que não há falar-se em reunião dos processos para julgamento conjunto por absoluta incompatibilidade procedimental.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 xml:space="preserve">Sendo assim, decorrido in albis o prazo para depósito ou entrega do bem, requer o exequente a expedição do competente mandado de imissão na posse do imóvel objeto da presente execução nos termos do art. 806, § 2º, do Código de Processo Civil. 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Reitera, ainda, o pedido constante do item “c” da exordial, consistente na expedição de mandado para registro do ato de citação do executado junto à respectiva matrícula do imóvel, em consonância com o art. 167, I, nº 21 da Lei de Registros Públicos (Lei 6.015/1973), para advertir terceiros de que o bem está sub judice.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Observa-se que às fls. (...), Vossa Excelência declinou que apreciaria este pedido após a citação, que já ocorreu.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Outrossim, reitera também o pedido do item “d” da inicial, para que Vossa Excelência fixe os honorários para a presente execução nos termos do art. 85 § 1º do Código de Processo Civil.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Nesses Termos,</w:t>
      </w:r>
    </w:p>
    <w:p w:rsidR="00C21AC2" w:rsidRDefault="00C21AC2">
      <w:pPr>
        <w:widowControl/>
        <w:rPr>
          <w:lang w:val="en-US"/>
        </w:rPr>
      </w:pP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21AC2" w:rsidRDefault="00C21AC2">
      <w:pPr>
        <w:widowControl/>
        <w:rPr>
          <w:lang w:val="en-US"/>
        </w:rPr>
      </w:pP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Local, data.</w:t>
      </w:r>
    </w:p>
    <w:p w:rsidR="00C21AC2" w:rsidRDefault="00C21AC2">
      <w:pPr>
        <w:widowControl/>
        <w:rPr>
          <w:lang w:val="en-US"/>
        </w:rPr>
      </w:pPr>
    </w:p>
    <w:p w:rsidR="00C21AC2" w:rsidRDefault="00C21AC2">
      <w:pPr>
        <w:widowControl/>
        <w:rPr>
          <w:lang w:val="en-US"/>
        </w:rPr>
      </w:pP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Assinatura do Advogado</w:t>
      </w:r>
    </w:p>
    <w:p w:rsidR="00C21AC2" w:rsidRDefault="00C21AC2">
      <w:pPr>
        <w:widowControl/>
        <w:rPr>
          <w:lang w:val="en-US"/>
        </w:rPr>
      </w:pP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Nome do Advogado</w:t>
      </w:r>
    </w:p>
    <w:p w:rsidR="00C21AC2" w:rsidRDefault="00C21AC2">
      <w:pPr>
        <w:widowControl/>
        <w:rPr>
          <w:lang w:val="en-US"/>
        </w:rPr>
      </w:pPr>
      <w:r>
        <w:rPr>
          <w:lang w:val="en-US"/>
        </w:rPr>
        <w:t>OAB/UF n° número da inscrição na OAB.</w:t>
      </w:r>
    </w:p>
    <w:p w:rsidR="00C21AC2" w:rsidRDefault="00C21AC2">
      <w:pPr>
        <w:widowControl/>
        <w:rPr>
          <w:lang w:val="en-US"/>
        </w:rPr>
      </w:pPr>
    </w:p>
    <w:sectPr w:rsidR="00C21A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251E9" w:rsidRDefault="00C251E9" w:rsidP="00C251E9">
      <w:r>
        <w:separator/>
      </w:r>
    </w:p>
  </w:endnote>
  <w:endnote w:type="continuationSeparator" w:id="0">
    <w:p w:rsidR="00C251E9" w:rsidRDefault="00C251E9" w:rsidP="00C25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51E9" w:rsidRDefault="00C251E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51E9" w:rsidRPr="00C251E9" w:rsidRDefault="00C251E9" w:rsidP="00C251E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51E9" w:rsidRDefault="00C251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251E9" w:rsidRDefault="00C251E9" w:rsidP="00C251E9">
      <w:r>
        <w:separator/>
      </w:r>
    </w:p>
  </w:footnote>
  <w:footnote w:type="continuationSeparator" w:id="0">
    <w:p w:rsidR="00C251E9" w:rsidRDefault="00C251E9" w:rsidP="00C251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51E9" w:rsidRDefault="00C251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51E9" w:rsidRPr="00C251E9" w:rsidRDefault="00C251E9" w:rsidP="00C251E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51E9" w:rsidRDefault="00C251E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21AC2"/>
    <w:rsid w:val="00C21AC2"/>
    <w:rsid w:val="00C2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251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251E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251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251E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723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2023-11-05T21:14:00Z</dcterms:modified>
</cp:coreProperties>
</file>