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INCIDENTE DE ASSUNÇÃO DE COMPETÊNCIA - NOVO CPC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__________, por seu advogado infra-assinado (doc. 1), vem, perante Vossa Excelência, suscitar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INCIDENTE DE ASSUNÇÃO DE COMPETÊNCIA,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com fulcro no art. 947 do CPC/2015, pelos fatos que passa a expor: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O Autor adentrou com ação de ____, perante a Vara ___ de _____, buscando (descrever motivos para a ação).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Entrementes, o i. magistrado a quo sentenciou a ação nestes termos: (descrever sentença recorrida).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Inconformado com os termos da respeitável sentença de fls. 39/45, por seu procurador firmatário, veio o Apelante/Suscitante respeitosamente perante V. Exª e interpôs recurso de APELAÇÃO, conforme razões que apresenta (descrever razões).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Claramente, a questão é controversa e não apresenta entendimento uniforme entre as diversas câmaras cíveis deste tribunal.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Desnecessário dizer que vários desembargadores deste tribunal, em especial Exmo. ____ da 11º Câmara Civel e Exmo. _____ da 3ª Câmara Cível, têm posicionamentos divergentes sobre o tema.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O julgamento deste recurso envolve questão de direito relevante e com grande repercussão social, sem repetição em múltiplos processos, pois ___________ (explicitar as razões da repercussão e sem repetição em múltiplos processos).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O direito do Apelante/Suscitante fundamenta-se principalmente na lei processual civil, verbis: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Art. 947.  É admissível a assunção de competência quando o julgamento de recurso, de remessa necessária ou de processo de competência originária envolver relevante questão de direito, com grande repercussão social, sem repetição em múltiplos processos.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§ 1º  Ocorrendo a hipótese de assunção de competência, o relator proporá, de ofício ou a requerimento da parte, do Ministério Público ou da Defensoria Pública, que seja o recurso, a remessa necessária ou o processo de competência originária julgado pelo órgão colegiado que o regimento indicar.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lastRenderedPageBreak/>
        <w:t>§ 2º  O órgão colegiado julgará o recurso, a remessa necessária ou o processo de competência originária se reconhecer interesse público na assunção de competência.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§ 3º  O acórdão proferido em assunção de competência vinculará todos os juízes e órgãos fracionários, exceto se houver revisão de tese.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§ 4º  Aplica-se o disposto neste artigo quando ocorrer relevante questão de direito a respeito da qual seja conveniente a prevenção ou a composição de divergência entre câmaras ou turmas do tribunal.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(Grifos meus).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I) V. Exª receba o presente incidente permitindo seu devido processamento e remetendo o recurso de apelação nº _____, para que seja julgado pelo órgão colegiado deste Tribunal, na forma que estabelece o seu Regimento Interno.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C1387" w:rsidRDefault="00AC1387">
      <w:pPr>
        <w:widowControl/>
        <w:rPr>
          <w:lang w:val="en-US"/>
        </w:rPr>
      </w:pPr>
    </w:p>
    <w:p w:rsidR="00AC1387" w:rsidRDefault="00AC138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C1387" w:rsidRDefault="00AC1387">
      <w:pPr>
        <w:widowControl/>
        <w:rPr>
          <w:lang w:val="en-US"/>
        </w:rPr>
      </w:pPr>
    </w:p>
    <w:sectPr w:rsidR="00AC13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01B5" w:rsidRDefault="005D01B5" w:rsidP="005D01B5">
      <w:r>
        <w:separator/>
      </w:r>
    </w:p>
  </w:endnote>
  <w:endnote w:type="continuationSeparator" w:id="0">
    <w:p w:rsidR="005D01B5" w:rsidRDefault="005D01B5" w:rsidP="005D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1B5" w:rsidRDefault="005D01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1B5" w:rsidRPr="005D01B5" w:rsidRDefault="005D01B5" w:rsidP="005D01B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1B5" w:rsidRDefault="005D01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01B5" w:rsidRDefault="005D01B5" w:rsidP="005D01B5">
      <w:r>
        <w:separator/>
      </w:r>
    </w:p>
  </w:footnote>
  <w:footnote w:type="continuationSeparator" w:id="0">
    <w:p w:rsidR="005D01B5" w:rsidRDefault="005D01B5" w:rsidP="005D0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1B5" w:rsidRDefault="005D01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1B5" w:rsidRPr="005D01B5" w:rsidRDefault="005D01B5" w:rsidP="005D01B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01B5" w:rsidRDefault="005D01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C1387"/>
    <w:rsid w:val="005D01B5"/>
    <w:rsid w:val="00AC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D01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01B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D01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01B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