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INCIDENTE DE DESCONSIDERAÇÃO DA PERSONALIDADE JURÍDICA - NOVO CPC</w:t>
      </w: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__________, já qualificada nos autos do processo referido, que move contra __________, vem, perante Vossa Excelência, com fulcro nos arts. 133 e ss. Do CPC/2015, suscitar o INCIDENTE DE DESCONSIDERAÇÃO DA PERSONALIDADE JURÍDICA da ré, pelos fatos que passa a expor:</w:t>
      </w: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(descrever os fatos e fundamentos jurídicos que embasam o incidente de desconsideração)</w:t>
      </w: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O Direito da Autora se fundamenta, basicamente, na legislação processual civil. Vejamos:</w:t>
      </w: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Art. 133.  O incidente de desconsideração da personalidade jurídica será instaurado a pedido da parte ou do Ministério Público, quando lhe couber intervir no processo.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§ 1º  O pedido de desconsideração da personalidade jurídica observará os pressupostos previstos em lei.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§ 2º  Aplica-se o disposto neste Capítulo à hipótese de desconsideração inversa da personalidade jurídica.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Art. 134.  O incidente de desconsideração é cabível em todas as fases do processo de conhecimento, no cumprimento de sentença e na execução fundada em título executivo extrajudicial.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§ 1º  A instauração do incidente será imediatamente comunicada ao distribuidor para as anotações devidas.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§ 2º  Dispensa-se a instauração do incidente se a desconsideração da personalidade jurídica for requerida na petição inicial, hipótese em que será citado o sócio ou a pessoa jurídica.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§ 3º  A instauração do incidente suspenderá o processo, salvo na hipótese do § 2º.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§ 4º  O requerimento deve demonstrar o preenchimento dos pressupostos legais específicos para desconsideração da personalidade jurídica.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Art. 135.  Instaurado o incidente, o sócio ou a pessoa jurídica será citado para manifestar-se e requerer as provas cabíveis no prazo de 15 (quinze) dias.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Art. 136.  Concluída a instrução, se necessária, o incidente será resolvido por decisão interlocutória.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Parágrafo único.  Se a decisão for proferida pelo relator, cabe agravo interno.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Art. 137.  Acolhido o pedido de desconsideração, a alienação ou a oneração de bens, havida em fraude de execução, será ineficaz em relação ao requerente.</w:t>
      </w: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ANTE O EXPOSTO, requer: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I) Que V. Exª determine a citação da empresa-ré, através de seu representante legal, para que se manifeste e requeira as provas cabíveis no prazo de 15 (quinze) dias, cf. art. 135 do CPC/2015;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lastRenderedPageBreak/>
        <w:t>II) Sendo instaurado o incidente, que V. Exª determine a imediata suspensão do processo, cf. art. 134, § 3º, do CPC/2015.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III) Requer ainda, que o incidente seja julgado totalmente procedente, para que se proceda à desconsideração da personalidade jurídica da empresa-ré atingindo-se os bens das sócias da empresa __________ Ltda., Sra.  __________  e Sra. ____ __________ , as quais tem domicílio à Rua _______, ___, apto. ___, CEP _______, ____________, UF.</w:t>
      </w: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IV) Por fim, pede a comunicação da instauração deste incidente ao distribuidor para as anotações devidas, art. 134, § 1º, do CPC/2015.</w:t>
      </w: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B75F8E" w:rsidRDefault="00B75F8E">
      <w:pPr>
        <w:widowControl/>
        <w:rPr>
          <w:lang w:val="en-US"/>
        </w:rPr>
      </w:pPr>
    </w:p>
    <w:p w:rsidR="00B75F8E" w:rsidRDefault="00B75F8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75F8E" w:rsidRDefault="00B75F8E">
      <w:pPr>
        <w:widowControl/>
        <w:rPr>
          <w:lang w:val="en-US"/>
        </w:rPr>
      </w:pPr>
    </w:p>
    <w:sectPr w:rsidR="00B75F8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035EB" w:rsidRDefault="00C035EB" w:rsidP="00C035EB">
      <w:r>
        <w:separator/>
      </w:r>
    </w:p>
  </w:endnote>
  <w:endnote w:type="continuationSeparator" w:id="0">
    <w:p w:rsidR="00C035EB" w:rsidRDefault="00C035EB" w:rsidP="00C03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35EB" w:rsidRDefault="00C035E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35EB" w:rsidRPr="00C035EB" w:rsidRDefault="00C035EB" w:rsidP="00C035E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35EB" w:rsidRDefault="00C035E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035EB" w:rsidRDefault="00C035EB" w:rsidP="00C035EB">
      <w:r>
        <w:separator/>
      </w:r>
    </w:p>
  </w:footnote>
  <w:footnote w:type="continuationSeparator" w:id="0">
    <w:p w:rsidR="00C035EB" w:rsidRDefault="00C035EB" w:rsidP="00C035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35EB" w:rsidRDefault="00C035E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35EB" w:rsidRPr="00C035EB" w:rsidRDefault="00C035EB" w:rsidP="00C035E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035EB" w:rsidRDefault="00C035E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75F8E"/>
    <w:rsid w:val="00B75F8E"/>
    <w:rsid w:val="00C03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035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035E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035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035E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