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INTERDITO PROIBITÓRIO II - NOVO CPC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(...), vem, mui respeitosamente, por seus advogados e procuradores (documento 1), com escritório na (...), onde receberão intimações, propor, em face do (...), o competente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Interdito proibitório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o que faz com fundamento no artigo 1.210 do Código Civil, nos artigos 567 e 568 do Código de Processo Civil e nos argumentos de fato e de direito a seguir aduzidos.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I – Fatos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De acordo com a cópia da certidão da matrícula anexa (documento 2), a autora é proprietária e possuidora do imóvel localizado na (...).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O imóvel da autora é destinado ao cultivo permanente de eucalipto para corte, conforme prova a última declaração do ITR (documento 3), dispondo, também, de uma casa onde funciona o alojamento dos empregados.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Ocorre que, em virtude de greve nacional dos trabalhadores rurais, o sindicato da região está convocando grevistas a fim de invadir a propriedade da autora, o que se prova através dos inclusos panfletos que estão sendo distribuídos na cidade de (...) (documento 4).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A ameaça do líder do movimento e presidente do sindicato foi perpetrada categoricamente, perante inúmeras testemunhas, conforme declarações anexas (documento 5).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II – Direito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O artigo 1.210 do Código Civil defere proteção ao possuidor ameaçado, cujo procedimento é regulado pelo Código de Processo Civil nos artigos 567 e 568.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Outrossim, é remansosa a jurisprudência acolhendo o interdito nessas hipóteses: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Primeiro Tribunal de Alçada Civil de São Paulo. “Competência. Possessória. Interdito proibitório.– turbação da posse por movimento grevista. Alegação pelo sindicato recorrente de competir à Justiça do Trabalho tal julgamento. Descabimento, porque não se questiona o direito de posse do banco recorrido. Recurso improvido. Possessória. Interdito proibitório. Turbação da posse por movimento grevista. Liminar deferida, porque presente o requisito exigido pelo artigo 932 do Código de Processo Civil. Recurso improvido” (Acórdão nº 29.455 – Processo nº 778.091-8 – Agravo de Instrumento – São Paulo – 2ª Câmara – julgamento: 12.08.1998 – relator: Salles de Toledo – decisão: unânime).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Primeiro Tribunal de Alçada Civil de São Paulo. “Interdito proibitório. Possessória. Direito de greve. Liminar concedida porque a posse fora molestada e ameaçada por sindicalizados – admissibilidade, uma vez que estaria se evitando a interrupção da produção com consequente prejuízo. Hipótese, ademais, em que o abuso do exercício do direito de greve sujeita os responsáveis às penas da lei, reconhecida a competência da justiça comum, pois a relação existente entre as partes é de invocação dos interditos – liminar mantida – recurso improvido” (Acórdão nº 28.285 – Processo nº 767.124-5 – Agravo de Instrumento – Itapeva – 2ª Câmara – julgamento: 04.03.1998 – relator: Ribeiro de Souza – decisão: unânime).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III – Pedido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Diante do exposto, requer a autora a procedência da presente ação com a consequente concessão do mandado proibitório, impondo-se ao réu pena pecuniária de R$ (...) por dia no </w:t>
      </w:r>
      <w:r>
        <w:rPr>
          <w:lang w:val="en-US"/>
        </w:rPr>
        <w:lastRenderedPageBreak/>
        <w:t xml:space="preserve">caso de efetivação do esbulho ou turbação, além da condenação em custas e honorários de advogado. 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Requer, ainda, a concessão liminar do mandado proibitório com a fixação da pena pecuniária de R$ (...) por dia no caso de transgressão;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IV – Citação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Requer-se a citação dos réus por oficial de justiça, nos termos do artigo 246, inciso II, do Código de Processo Civil, requerendo-se desde já que o encarregado da diligência proceda nos dias e horários de exceção (Código de Processo Civil, art. 212, § 2º), e, tratando-se de conflito coletivo pela posse, a citação pessoal dos ocupantes que forem encontrados no local e, os que não forem na diligência que deve ser única (CPC, art. 554, § 2º), a citação por edital e, demais disso, a intimação do Ministério Público e, se envolver pessoas em situação de hipossuficiência econômica, da Defensoria Pública, tudo para: 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a) querendo, oferecer a defesa que tiverem sob pena de confissão e efeitos da revelia (Código de Processo Civil, art. 344);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b) comparecer à audiência de justificação, nos termos do artigo 562, segunda parte, do Código de Processo Civil, caso esta seja designada por Vossa Excelência.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V – Provas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Protesta a autora por provar o alegado através de todos os meios de prova em direito admitidos, especialmente pela produção de prova documental, testemunhal, pericial e inspeção judicial, depoimento pessoal do réu sob pena de confissão, caso não compareça, ou, comparecendo, se negue a depor (art. 385, § 1º, do Código de Processo Civil), inclusive em eventual audiência de justificação.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VI – Valor da causa</w:t>
      </w: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 xml:space="preserve">  Dá-se à causa o valor de R$ (...).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10347" w:rsidRDefault="00610347">
      <w:pPr>
        <w:widowControl/>
        <w:rPr>
          <w:lang w:val="en-US"/>
        </w:rPr>
      </w:pPr>
    </w:p>
    <w:p w:rsidR="00610347" w:rsidRDefault="0061034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10347" w:rsidRDefault="00610347">
      <w:pPr>
        <w:widowControl/>
        <w:rPr>
          <w:lang w:val="en-US"/>
        </w:rPr>
      </w:pPr>
    </w:p>
    <w:sectPr w:rsidR="006103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2C78" w:rsidRDefault="001E2C78" w:rsidP="001E2C78">
      <w:r>
        <w:separator/>
      </w:r>
    </w:p>
  </w:endnote>
  <w:endnote w:type="continuationSeparator" w:id="0">
    <w:p w:rsidR="001E2C78" w:rsidRDefault="001E2C78" w:rsidP="001E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Default="001E2C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Pr="001E2C78" w:rsidRDefault="001E2C78" w:rsidP="001E2C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Default="001E2C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2C78" w:rsidRDefault="001E2C78" w:rsidP="001E2C78">
      <w:r>
        <w:separator/>
      </w:r>
    </w:p>
  </w:footnote>
  <w:footnote w:type="continuationSeparator" w:id="0">
    <w:p w:rsidR="001E2C78" w:rsidRDefault="001E2C78" w:rsidP="001E2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Default="001E2C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Pr="001E2C78" w:rsidRDefault="001E2C78" w:rsidP="001E2C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2C78" w:rsidRDefault="001E2C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0347"/>
    <w:rsid w:val="001E2C78"/>
    <w:rsid w:val="0061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E2C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2C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2C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2C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