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JUNTADA ATESTADO MEDICO DOENCA ADIAMENTO AUDIENCIA - NOVO CPC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Ação de Reparação de Danos 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Proc. nº.   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Autor:  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Ré:  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_______________, já qualificado na peça vestibular, para requerer o que se segue.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01.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Consoante despacho próximo passado, o qual dormita à fl. 67, fora designada audiência de instrução para o próximo dia 27 do corrente mês. 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02.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Urge destacar, de outro importe, que a parte adversa protestou (fl. 56) pelo depoimento do Autor. 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 03.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Segundo o atestado médico ora trazido à baila (doc. 01), destaca-se que o Promovente encontra-se enfermo e, por tal razão, não poderá comparecer à audiência de instrução em liça. 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04.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Registre-se, mais, que este pleito processual é formulado antes da audiência (NCPC, art. 362, § 1º) e, por outro norte, o motivo do pedido se encontra devidamente justificado pela prova ora acostada (NCPC, art. 362, inc. II). 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 05.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No tocante ao tema em relevo, vejamos as lições de Fredie Didier Júnior: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“ </w:t>
      </w:r>
      <w:r>
        <w:rPr>
          <w:lang w:val="en-US"/>
        </w:rPr>
        <w:tab/>
        <w:t>O art. 362, CPC, prevê, contudo, a possibilidade de adiamento da audiência, em três hipóteses: i) por convenção das partes; ii) pela ausência de sujeitos do processo que necessariamente deveriam fazer parte da ausência – nesse caso, é preciso que haja motivo justificado para o adiamento, comprovado até a abertura da audiência (art. 362, § 1º, CPC) ... “. (DIDIER JÚNIOR, Fredie. Curso de Direito Processual Civil – vol. 02, Reescrito com base no NOVO CPC. 10ª Ed. Salvador: JusPodvm, 2015)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(sublinhamos)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 06.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Em abono dessa disposição doutrinária, mister se faz trazer à colação o seguinte julgado: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lastRenderedPageBreak/>
        <w:t xml:space="preserve">AGRAVO DE INSTRUMENTO. DIREITOS DE VIZINHANÇA. AÇÃO DECLARATÓRIA. AUDIÊNCIA DE INSTRUÇÃO E JULGAMENTO. ADIAMENTO. POSSIBILIDADE. ART. 453 DO CÓDIGO DE PROCESSO CIVIL. 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Demonstração satisfatória da existência de motivo justificado para a impossibilidade de comparecimento da única advogada de uma das partes à solenidade. Audiência de instrução previamente designada em processo no qual a causídica é, também, a única advogada de uma das partes. Recurso provido por decisão monocrática do relator. (TJRS; AI 0076445-30.2015.8.21.7000; Arvorezinha; Décima Oitava Câmara Cível; Rel. Des. Pedro Celso Dal Pra; Julg. 18/03/2015; DJERS 23/03/2015)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CIVIL E PROCESSO CIVIL. 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Agravo de instrumento. Ação de divórcio litigioso cumulada com alimentos. Decisão que indeferiu o pedido de reaprazamento de audiência de instrução. Policial militar. Alegação de impossibilidade de comparecer ao ato judicial por se encontrar em serviço no dia e hora da audiência. Justificativa intempestiva. A audiência poderá ser adiada se a ela não puderem comparecer, por motivo justificado, o perito, as partes, as testemunhas ou os advogados. Inteligência do art. 453, II, do CPC. O parágrafo 1º do art. 453 determina que incumbe ao advogado provar o impedimento até a abertura da audiência; não o fazendo, o juiz procederá à instrução. Recurso conhecido e desprovido. (TJRN; AI 2014.021525-7; Natal; Primeira Câmara Cível; Rel. Des. Dilermando Mota; DJRN 18/03/2015)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  07.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Em arremate, o Autor pede seja designada data para a realização de audiência de instrução, com as comunicações de estilo.  </w:t>
      </w: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7094D" w:rsidRDefault="00B7094D">
      <w:pPr>
        <w:widowControl/>
        <w:rPr>
          <w:lang w:val="en-US"/>
        </w:rPr>
      </w:pPr>
    </w:p>
    <w:p w:rsidR="00B7094D" w:rsidRDefault="00B7094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7094D" w:rsidRDefault="00B7094D">
      <w:pPr>
        <w:widowControl/>
        <w:rPr>
          <w:lang w:val="en-US"/>
        </w:rPr>
      </w:pPr>
    </w:p>
    <w:sectPr w:rsidR="00B709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7F7A" w:rsidRDefault="00707F7A" w:rsidP="00707F7A">
      <w:r>
        <w:separator/>
      </w:r>
    </w:p>
  </w:endnote>
  <w:endnote w:type="continuationSeparator" w:id="0">
    <w:p w:rsidR="00707F7A" w:rsidRDefault="00707F7A" w:rsidP="00707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7F7A" w:rsidRDefault="00707F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7F7A" w:rsidRPr="00707F7A" w:rsidRDefault="00707F7A" w:rsidP="00707F7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7F7A" w:rsidRDefault="00707F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7F7A" w:rsidRDefault="00707F7A" w:rsidP="00707F7A">
      <w:r>
        <w:separator/>
      </w:r>
    </w:p>
  </w:footnote>
  <w:footnote w:type="continuationSeparator" w:id="0">
    <w:p w:rsidR="00707F7A" w:rsidRDefault="00707F7A" w:rsidP="00707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7F7A" w:rsidRDefault="00707F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7F7A" w:rsidRPr="00707F7A" w:rsidRDefault="00707F7A" w:rsidP="00707F7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7F7A" w:rsidRDefault="00707F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7094D"/>
    <w:rsid w:val="00707F7A"/>
    <w:rsid w:val="00B7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07F7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07F7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07F7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07F7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2961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