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>MANUTENÇÃO DE POSSE - NOVO CPC</w:t>
      </w: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(...), vem, mui respeitosamente, por seus advogados e procuradores (documento 1), com escritório na (...), propor, em face do (...) na pessoa de seu representante legal, com sede na Rua (...), a competente ação de 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Manutenção de posse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o que faz com fundamento nos artigos 1.210, do Código Civil, e 554 e seguintes do Código de Processo Civil e nos argumentos de fato e de direito a seguir aduzidos.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I – Fatos e Direito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De acordo com a cópia da certidão da matrícula anexa (documento 2), a autora é proprietária e possuidora do imóvel localizado na Rua (...).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O imóvel da autora é destinado ao cultivo permanente de eucalipto para corte, conforme prova a última declaração do ITR (documento 3), dispondo, também, de uma casa onde funciona o alojamento dos empregados.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Ocorre que, em virtude de greve nacional dos trabalhadores rurais, o sindicato da região convocou grevistas a fim de impedir a extração da madeira já vendida à Companhia (...), conforme cópia de recibo anexo (documento 4).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De fato, a partir do último dia (...), os grevistas permanecem durante todo o dia em frente aos portões da propriedade da autora, impedindo a entrada de caminhões (documento 4).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Turbação praticada pelo réu (Código de Processo Civil, art. 561, II)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Perturbação da posse é todo acto praticado contra a vontade do possuidor, que lhe estorve o gozo da coisa possuída, sem dela o excluir, completamente (vis inquietativa). Ela pode ser positiva; p. ex., o turbador corta árvores da propriedade, ou negativa, p.ex., o turbador impede o possuidor de cortá-las.1 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Com efeito, a autora foi turbada da posse, porque, embora não tenha perdido a posse, está impedida de extrair a madeira vendida, causando-lhe imensuráveis prejuízos.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Data da turbação (Código de Processo Civil, art. 561, III)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A turbação ocorreu no dia (...), ou seja, há apenas dois meses, dentro do prazo de ano e dia exigido por lei (Código de Processo Civil, art. 558).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Continuação da posse (CPC, art. 561, IV)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Verifica-se que a autora continua na posse do imóvel, estando, apenas, impedida de extrair a madeira vendida, configurando-se, claramente, a turbação apta a ensejar a presente ação.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II – Pedido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Diante de todo o exposto, serve a presente para requerer digne-se Vossa Excelência de: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a) acorde com o mandamento insculpido no artigo 562, primeira parte, do Código de Processo Civil, provados os requisitos e estando a presente exordial devidamente instruída, determinar seja expedido mandado, concedida liminarmente, inaudita altera parte, a manutenção de posse do imóvel situado na (...), com a requisição de força policial;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b) ao final, julgar procedente a presente ação, tornando definitiva a manutenção de posse, cominando a multa diária de R$ (...) se houver nova turbação pelo mesmo réu, além da </w:t>
      </w:r>
      <w:r>
        <w:rPr>
          <w:lang w:val="en-US"/>
        </w:rPr>
        <w:lastRenderedPageBreak/>
        <w:t>condenação em custas, honorários de advogado que Vossa Excelência houver por bem arbitrar e demais ônus de sucumbência;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Subsidiariamente, caso Vossa Excelência entenda necessária a audiência de justificação nos termos da segunda parte do artigo 562 do Código de Processo Civil, requer a autora digne-se Vossa Excelência de considerar suficiente (Código de Processo Civil, art. 563), com a consequente expedição de mandado de manutenção de posse, julgando Vossa Excelência, ao final, procedente a ação, tornando definitiva a manutenção de posse, cominando a multa diária de R$ (...) se houver nova turbação pelos mesmos réus, além da condenação em custas, honorários de advogado que Vossa Excelência houver por bem arbitrar e demais ônus de sucumbência.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Ainda em ordem subsidiária, caso Vossa Excelência não conceda liminarmente, e, tampouco, após a justificação, a manutenção de posse pretendida, o que se admite somente por hipótese, requer a autora a procedência da presente ação com a consequente expedição do mandado de manutenção da posse, cominando-se multa diária de R$ (...) no caso de nova turbação, além da condenação em custas, honorários de advogado e demais ônus de sucumbência.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III – Citação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Requer-se a citação dos réus por oficial de justiça, nos termos do artigo 246, inciso II, do Código de Processo Civil, requerendo-se desde já que o encarregado da diligência proceda nos dias e horários de exceção (Código de Processo Civil, art. 212, § 2º), e, tratando-se de conflito coletivo pela posse, a citação pessoal dos ocupantes que forem encontrados no local e, os que não forem na diligência que deve ser única (CPC, art. 554, § 2º), a citação por edital e, demais disso, a intimação do Ministério Público e, se envolver pessoas em situação de hipossuficiência econômica, da Defensoria Pública, tudo para: 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a) querendo, oferecer a defesa que tiverem sob pena de confissão e efeitos da revelia (Código de Processo Civil, art. 344);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b) comparecer à audiência de justificação, nos termos do artigo 562, segunda parte, do Código de Processo Civil, caso esta seja designada por Vossa Excelência.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IV – Provas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Protesta a autora por provar o alegado através de todos os meios de prova em direito admitidos, especialmente pela produção de prova documental, testemunhal, pericial e inspeção judicial, depoimento pessoal do réu sob pena de confissão, caso não compareça, ou, comparecendo, se negue a depor (art. 385, § 1º, do Código de Processo Civil), inclusive em eventual audiência de justificação.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V – Valor da causa</w:t>
      </w: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 xml:space="preserve">  Dá-se à causa o valor de R$ (...).</w:t>
      </w: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72127" w:rsidRDefault="00772127">
      <w:pPr>
        <w:widowControl/>
        <w:rPr>
          <w:lang w:val="en-US"/>
        </w:rPr>
      </w:pPr>
    </w:p>
    <w:p w:rsidR="00772127" w:rsidRDefault="0077212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72127" w:rsidRDefault="00772127">
      <w:pPr>
        <w:widowControl/>
        <w:rPr>
          <w:lang w:val="en-US"/>
        </w:rPr>
      </w:pPr>
    </w:p>
    <w:sectPr w:rsidR="0077212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170C" w:rsidRDefault="000F170C" w:rsidP="000F170C">
      <w:r>
        <w:separator/>
      </w:r>
    </w:p>
  </w:endnote>
  <w:endnote w:type="continuationSeparator" w:id="0">
    <w:p w:rsidR="000F170C" w:rsidRDefault="000F170C" w:rsidP="000F1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170C" w:rsidRDefault="000F17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170C" w:rsidRPr="000F170C" w:rsidRDefault="000F170C" w:rsidP="000F170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170C" w:rsidRDefault="000F17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170C" w:rsidRDefault="000F170C" w:rsidP="000F170C">
      <w:r>
        <w:separator/>
      </w:r>
    </w:p>
  </w:footnote>
  <w:footnote w:type="continuationSeparator" w:id="0">
    <w:p w:rsidR="000F170C" w:rsidRDefault="000F170C" w:rsidP="000F1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170C" w:rsidRDefault="000F17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170C" w:rsidRPr="000F170C" w:rsidRDefault="000F170C" w:rsidP="000F170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170C" w:rsidRDefault="000F170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72127"/>
    <w:rsid w:val="000F170C"/>
    <w:rsid w:val="0077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F170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170C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F170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170C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880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