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1F4E" w:rsidRDefault="00B11F4E" w:rsidP="00B11F4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CESSAÇÃO DE EFICÁCIA DA MEDIDA CAUTELAR DE ARRESTO (Art. 808,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11F4E" w:rsidRDefault="00B11F4E" w:rsidP="00B11F4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MEDIDA CAUTELAR DE ARRESTO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808, I, do Código de Processo Civil, requerer a cessação da eficácia da cautelar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A medida foi efetivada desde a data da concessão da liminar, e desde então, perfazendo mais de 30 (trinta) dias, não foi ajuizada a ação principal, conforme certidão anexa.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Art. 808, I, do CPC, estabelece que cessa a eficácia da medida cautelar preparatória se a ação principal não for proposta no prazo de 30 (trinta) dias.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808. Cessa a eficácia da medida cautelar: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se a parte não intentar a ação no prazo estabelecido no art. 806;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............................................"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A declaração da cessão da eficácia da cautelar, devendo ser expedido mandado para levantamento do arresto 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B11F4E" w:rsidRDefault="00B11F4E"/>
    <w:sectPr w:rsidR="00B11F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4635" w:rsidRDefault="008D4635" w:rsidP="008D4635">
      <w:r>
        <w:separator/>
      </w:r>
    </w:p>
  </w:endnote>
  <w:endnote w:type="continuationSeparator" w:id="0">
    <w:p w:rsidR="008D4635" w:rsidRDefault="008D4635" w:rsidP="008D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Default="008D46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Pr="008D4635" w:rsidRDefault="008D4635" w:rsidP="008D46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Default="008D46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4635" w:rsidRDefault="008D4635" w:rsidP="008D4635">
      <w:r>
        <w:separator/>
      </w:r>
    </w:p>
  </w:footnote>
  <w:footnote w:type="continuationSeparator" w:id="0">
    <w:p w:rsidR="008D4635" w:rsidRDefault="008D4635" w:rsidP="008D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Default="008D46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Pr="008D4635" w:rsidRDefault="008D4635" w:rsidP="008D46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4635" w:rsidRDefault="008D46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F4E"/>
    <w:rsid w:val="008D4635"/>
    <w:rsid w:val="00B11F4E"/>
    <w:rsid w:val="00CE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62830-9ABC-4240-8D36-7AE572C1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11F4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D46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D4635"/>
    <w:rPr>
      <w:sz w:val="24"/>
      <w:szCs w:val="24"/>
    </w:rPr>
  </w:style>
  <w:style w:type="paragraph" w:styleId="Rodap">
    <w:name w:val="footer"/>
    <w:basedOn w:val="Normal"/>
    <w:link w:val="RodapChar"/>
    <w:rsid w:val="008D46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D46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6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CESSAÇÃO DE EFICÁCIA DA MEDIDA CAUTELAR DE ARRESTO (Art</vt:lpstr>
    </vt:vector>
  </TitlesOfParts>
  <Company>MicroHardware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CESSAÇÃO DE EFICÁCIA DA MEDIDA CAUTELAR DE ARRESTO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