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PETIÇÃO REQUERENDO CONSTRIÇÃO DE BENS EM RAZÃO DA FRUSTRAÇÃO DA PENHORA INICIAL</w:t>
      </w: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Processo nº (...)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(...), por seus advogados, nos autos da ação (...), que move em face de (...), processo em epígrafe, em trâmite perante esse e. Juízo, vem, respeitosamente, à presença de Vossa Excelência, expor e requerer o quanto segue.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Inobstante a determinação de intimação para pagamento a executada quedou-se inerte e restou infrutífera a tentativa de penhora pelo Sr. Oficial de Justiça nos termos do § 3º do art. 523 do CPC.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Posta assim a questão, tendo em vista que decorreu in albis o prazo para pagamento voluntário insculpido no art. 523 do Código de Processo Civil, o valor devido de R$ (...) importa em (...) atualizados que, acrescido de 10% (multa do art. 523, § 1º), resulta no valor devido de R$ (...) que, acrescido de honorários de 10% pela execução (independentemente daqueles fixados na fase de conhecimento), importa no valor total devido de R$ (...).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(Memória discriminada dos cálculos)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Posta assim a questão, mister se faz a pesquisa/bloqueio pelos sistemas Bacenjud, Infojud, Arisp e Renajud.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Nestes termos, a exequente requer, pelo valor executado: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a) A realização de pesquisa eletrônica de titularidade de imóveis via ARISP  (art. 3º do Provimento 30/2011, DJE de 19/11/2011 e DJE de 09/01/2012, pág. 12 – decisão normativa da Corregedoria Geral da Justiça);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 xml:space="preserve">b) O emprego de INFOJUD (requisição de cópia da declaração de bens entregue à Receita Federal); 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c) O emprego do RENAJUD (pesquisa e bloqueio de veículos automotores);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d) BACENJUD (pesquisa e bloqueio de ativos financeiros); e,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Insta observar que todas as pesquisas/bloqueios devem ser realizadas em nome da executada: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(...)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Para o cometimento, apresenta a exequente as guias de recolhimento das taxas respectivas (por ferramenta empregada e por CPF consultado – Guia do Fundo Especial de Despesa do Tribunal de Justiça, código 434-1, “Impressão de Informações do Sistema Infojud/Bacenjud/Renajud” – Prov. CSM 1.826/2010, Prov. CSM 1.864/2011 e Comunicado CSM 97/2010), devendo a zelosa Serventia observar o prazo de 48 horas (art. 190 do CPC), contado da apresentação das guias que seguem anexas.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Por derradeiro, requer o cumprimento do requerimento supra, antes de qualquer intimação através da imprensa oficial ou de qualquer outra medida, com o escopo de evitar que os executados tomem, antecipadamente, ciência do ato e frustre a medida.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Posta assim a questão, juntando as guias (BACENJUD, ARISP, INFOJUD e RENAJUD) para as pesquisas/bloqueios ora requeridos.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 xml:space="preserve">Ou 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a) Nos termos do inciso VII do art. 524 e art. 844, do Código de Processo Civil, por auto ou termo de penhora, a penhora do apto.(...), conforme matrícula atualizada anexa à presente;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lastRenderedPageBreak/>
        <w:t xml:space="preserve">a.1) Desde já o exequente indica o valor do imóvel sobre o qual deve recair a penhora, de acordo com as avaliações anexas correspondente a R$ (...). 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É preciso observar que, nos termos da lição dos preclaros Luiz Rodrigues Wambier, Teresa Arruda Alvim Wambier e José Miguel Garcia Medina: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 xml:space="preserve">“Ao requerer a realização da execução e indicar bens sobre os quais recairá a penhora [art. 524, VII do CPC], poderá o exequente estimar o seu valor. Caso o executado aceite o valor atribuído aos bens pelo exequente, a realização de avaliação por assistente do juiz será desnecessária” (cf. art. 871, I, do CPC, aplicável analogicamente ao caso). 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B) Nos termos do art. 871 do Código de Processo Civil, requer-se a nomeação de avaliador, caso a executada não concorde com o valor ora indicado pelo exequente.</w:t>
      </w: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C) Ultrapassado “in albis” o prazo para impugnação a que alude o art. 525 do CPC requer-se a designação de praça.</w:t>
      </w: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D0279" w:rsidRDefault="00FD0279">
      <w:pPr>
        <w:widowControl/>
        <w:rPr>
          <w:lang w:val="en-US"/>
        </w:rPr>
      </w:pPr>
    </w:p>
    <w:p w:rsidR="00FD0279" w:rsidRDefault="00FD027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D0279" w:rsidRDefault="00FD0279">
      <w:pPr>
        <w:widowControl/>
        <w:rPr>
          <w:lang w:val="en-US"/>
        </w:rPr>
      </w:pPr>
    </w:p>
    <w:sectPr w:rsidR="00FD02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1AFD" w:rsidRDefault="00BB1AFD" w:rsidP="00BB1AFD">
      <w:r>
        <w:separator/>
      </w:r>
    </w:p>
  </w:endnote>
  <w:endnote w:type="continuationSeparator" w:id="0">
    <w:p w:rsidR="00BB1AFD" w:rsidRDefault="00BB1AFD" w:rsidP="00BB1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AFD" w:rsidRDefault="00BB1A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AFD" w:rsidRPr="00BB1AFD" w:rsidRDefault="00BB1AFD" w:rsidP="00BB1A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AFD" w:rsidRDefault="00BB1A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1AFD" w:rsidRDefault="00BB1AFD" w:rsidP="00BB1AFD">
      <w:r>
        <w:separator/>
      </w:r>
    </w:p>
  </w:footnote>
  <w:footnote w:type="continuationSeparator" w:id="0">
    <w:p w:rsidR="00BB1AFD" w:rsidRDefault="00BB1AFD" w:rsidP="00BB1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AFD" w:rsidRDefault="00BB1A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AFD" w:rsidRPr="00BB1AFD" w:rsidRDefault="00BB1AFD" w:rsidP="00BB1A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AFD" w:rsidRDefault="00BB1A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D0279"/>
    <w:rsid w:val="00BB1AFD"/>
    <w:rsid w:val="00FD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B1A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1AF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B1A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1AF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