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40A6F" w:rsidRDefault="00540A6F">
      <w:pPr>
        <w:widowControl/>
        <w:rPr>
          <w:lang w:val="en-US"/>
        </w:rPr>
      </w:pPr>
    </w:p>
    <w:p w:rsidR="00540A6F" w:rsidRDefault="00540A6F">
      <w:pPr>
        <w:widowControl/>
        <w:rPr>
          <w:lang w:val="en-US"/>
        </w:rPr>
      </w:pPr>
      <w:r>
        <w:rPr>
          <w:lang w:val="en-US"/>
        </w:rPr>
        <w:t>RÉPLICA - EMBARGOS DE TERCEIRO - ANULAÇÃO DA PENHORA - NOVO CPC</w:t>
      </w:r>
    </w:p>
    <w:p w:rsidR="00540A6F" w:rsidRDefault="00540A6F">
      <w:pPr>
        <w:widowControl/>
        <w:rPr>
          <w:lang w:val="en-US"/>
        </w:rPr>
      </w:pPr>
    </w:p>
    <w:p w:rsidR="00540A6F" w:rsidRDefault="00540A6F">
      <w:pPr>
        <w:widowControl/>
        <w:rPr>
          <w:lang w:val="en-US"/>
        </w:rPr>
      </w:pPr>
    </w:p>
    <w:p w:rsidR="00540A6F" w:rsidRDefault="00540A6F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540A6F" w:rsidRDefault="00540A6F">
      <w:pPr>
        <w:widowControl/>
        <w:rPr>
          <w:lang w:val="en-US"/>
        </w:rPr>
      </w:pPr>
    </w:p>
    <w:p w:rsidR="00540A6F" w:rsidRDefault="00540A6F">
      <w:pPr>
        <w:widowControl/>
        <w:rPr>
          <w:lang w:val="en-US"/>
        </w:rPr>
      </w:pPr>
    </w:p>
    <w:p w:rsidR="00540A6F" w:rsidRDefault="00540A6F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540A6F" w:rsidRDefault="00540A6F">
      <w:pPr>
        <w:widowControl/>
        <w:rPr>
          <w:lang w:val="en-US"/>
        </w:rPr>
      </w:pPr>
    </w:p>
    <w:p w:rsidR="00540A6F" w:rsidRDefault="00540A6F">
      <w:pPr>
        <w:widowControl/>
        <w:rPr>
          <w:lang w:val="en-US"/>
        </w:rPr>
      </w:pPr>
    </w:p>
    <w:p w:rsidR="00540A6F" w:rsidRDefault="00540A6F">
      <w:pPr>
        <w:widowControl/>
        <w:rPr>
          <w:lang w:val="en-US"/>
        </w:rPr>
      </w:pPr>
    </w:p>
    <w:p w:rsidR="00540A6F" w:rsidRDefault="00540A6F">
      <w:pPr>
        <w:widowControl/>
        <w:rPr>
          <w:lang w:val="en-US"/>
        </w:rPr>
      </w:pPr>
      <w:r>
        <w:rPr>
          <w:lang w:val="en-US"/>
        </w:rPr>
        <w:t xml:space="preserve">____________ Ltda., já qualificada, nos autos da Ação de Embargos de Terceiro, feito nº ____________, movido contra ____________, igualmente qualificada, por seu procurador firmatário, vem, respeitosamente à presença de V. Exª, apresentar RÉPLICA à contestação, com fulcro no art. 350 do CPC/2015, pelos fatos e fundamentos a seguir aduzidos. </w:t>
      </w:r>
    </w:p>
    <w:p w:rsidR="00540A6F" w:rsidRDefault="00540A6F">
      <w:pPr>
        <w:widowControl/>
        <w:rPr>
          <w:lang w:val="en-US"/>
        </w:rPr>
      </w:pPr>
      <w:r>
        <w:rPr>
          <w:lang w:val="en-US"/>
        </w:rPr>
        <w:t xml:space="preserve">1. Ao analisarmos a peça de contestação verificamos a confissão da Embargada ao reconhecer seu ato falho. </w:t>
      </w:r>
    </w:p>
    <w:p w:rsidR="00540A6F" w:rsidRDefault="00540A6F">
      <w:pPr>
        <w:widowControl/>
        <w:rPr>
          <w:lang w:val="en-US"/>
        </w:rPr>
      </w:pPr>
      <w:r>
        <w:rPr>
          <w:lang w:val="en-US"/>
        </w:rPr>
        <w:t>2. Aduz às fls. ___ que:</w:t>
      </w:r>
    </w:p>
    <w:p w:rsidR="00540A6F" w:rsidRDefault="00540A6F">
      <w:pPr>
        <w:widowControl/>
        <w:rPr>
          <w:lang w:val="en-US"/>
        </w:rPr>
      </w:pPr>
      <w:r>
        <w:rPr>
          <w:lang w:val="en-US"/>
        </w:rPr>
        <w:t xml:space="preserve">"Constatado o registro do veículo em discussão em nome do executado ____________, não desconhecendo a existência do gravame, a embargada requereu a penhora do bem para resguardo dos direitos. Isto porque a alienação poderia, com a adimplemento do contrato deixar de existir, tornando-se o bem apto para a venda judicial". </w:t>
      </w:r>
    </w:p>
    <w:p w:rsidR="00540A6F" w:rsidRDefault="00540A6F">
      <w:pPr>
        <w:widowControl/>
        <w:rPr>
          <w:lang w:val="en-US"/>
        </w:rPr>
      </w:pPr>
      <w:r>
        <w:rPr>
          <w:lang w:val="en-US"/>
        </w:rPr>
        <w:t>Prossegue:</w:t>
      </w:r>
    </w:p>
    <w:p w:rsidR="00540A6F" w:rsidRDefault="00540A6F">
      <w:pPr>
        <w:widowControl/>
        <w:rPr>
          <w:lang w:val="en-US"/>
        </w:rPr>
      </w:pPr>
      <w:r>
        <w:rPr>
          <w:lang w:val="en-US"/>
        </w:rPr>
        <w:t>"Contudo, tendo a embargada conhecimento do gravame, não deu sequência ao processo expropriatório do veículo, até por imposição legal, requerendo somente fosse averbada a constrição judicial, para garantia de seu crédito, caso o veículo viesse a ser desalienado, o que é perfeitamente possível - a qualquer tempo - com o pagamento da dívida por parte do confitente à embargante, como já dito. "</w:t>
      </w:r>
    </w:p>
    <w:p w:rsidR="00540A6F" w:rsidRDefault="00540A6F">
      <w:pPr>
        <w:widowControl/>
        <w:rPr>
          <w:lang w:val="en-US"/>
        </w:rPr>
      </w:pPr>
      <w:r>
        <w:rPr>
          <w:lang w:val="en-US"/>
        </w:rPr>
        <w:t xml:space="preserve">3. De posse de todas estas informações, ainda assim, insistiu em requerer a penhora sobre o bem. </w:t>
      </w:r>
    </w:p>
    <w:p w:rsidR="00540A6F" w:rsidRDefault="00540A6F">
      <w:pPr>
        <w:widowControl/>
        <w:rPr>
          <w:lang w:val="en-US"/>
        </w:rPr>
      </w:pPr>
      <w:r>
        <w:rPr>
          <w:lang w:val="en-US"/>
        </w:rPr>
        <w:t xml:space="preserve">4. Data máxima vênia, procedimento totalmente equivocado, eis que o veículo penhorado não pertence ao patrimônio do executado, mas sim ao patrimônio da Embargante. </w:t>
      </w:r>
    </w:p>
    <w:p w:rsidR="00540A6F" w:rsidRDefault="00540A6F">
      <w:pPr>
        <w:widowControl/>
        <w:rPr>
          <w:lang w:val="en-US"/>
        </w:rPr>
      </w:pPr>
      <w:r>
        <w:rPr>
          <w:lang w:val="en-US"/>
        </w:rPr>
        <w:t xml:space="preserve">5. Diante disto, a penhora somente poderia ter recaído sobre os direitos do Executado perante a Embargante, oriundos do contrato de particular de confissão de dívida garantido por alienação fiduciária juntado às fls. ___. </w:t>
      </w:r>
    </w:p>
    <w:p w:rsidR="00540A6F" w:rsidRDefault="00540A6F">
      <w:pPr>
        <w:widowControl/>
        <w:rPr>
          <w:lang w:val="en-US"/>
        </w:rPr>
      </w:pPr>
      <w:r>
        <w:rPr>
          <w:lang w:val="en-US"/>
        </w:rPr>
        <w:t xml:space="preserve">6. Desta forma, a constrição judicial mostra-se equivocada e outra razão não há senão sua anulação de pleno direito. </w:t>
      </w:r>
    </w:p>
    <w:p w:rsidR="00540A6F" w:rsidRDefault="00540A6F">
      <w:pPr>
        <w:widowControl/>
        <w:rPr>
          <w:lang w:val="en-US"/>
        </w:rPr>
      </w:pPr>
      <w:r>
        <w:rPr>
          <w:lang w:val="en-US"/>
        </w:rPr>
        <w:t xml:space="preserve">7. Não satisfeita com a penhora, a Embargada promoveu sua averbação junto ao registro do veículo. Ato violento, contra o direito de propriedade da Embargante, e contrário à lei. </w:t>
      </w:r>
    </w:p>
    <w:p w:rsidR="00540A6F" w:rsidRDefault="00540A6F">
      <w:pPr>
        <w:widowControl/>
        <w:rPr>
          <w:lang w:val="en-US"/>
        </w:rPr>
      </w:pPr>
      <w:r>
        <w:rPr>
          <w:lang w:val="en-US"/>
        </w:rPr>
        <w:t>8. Este inclusive, é o pensamento da remansosa jurisprudência pátria verificado claramente nos arestos abaixo citados:</w:t>
      </w:r>
    </w:p>
    <w:p w:rsidR="00540A6F" w:rsidRDefault="00540A6F">
      <w:pPr>
        <w:widowControl/>
        <w:rPr>
          <w:lang w:val="en-US"/>
        </w:rPr>
      </w:pPr>
    </w:p>
    <w:p w:rsidR="00540A6F" w:rsidRDefault="00540A6F">
      <w:pPr>
        <w:widowControl/>
        <w:rPr>
          <w:lang w:val="en-US"/>
        </w:rPr>
      </w:pPr>
    </w:p>
    <w:p w:rsidR="00540A6F" w:rsidRDefault="00540A6F">
      <w:pPr>
        <w:widowControl/>
        <w:rPr>
          <w:lang w:val="en-US"/>
        </w:rPr>
      </w:pPr>
      <w:r>
        <w:rPr>
          <w:lang w:val="en-US"/>
        </w:rPr>
        <w:t xml:space="preserve">EMBARGOS DE TERCEIRO. EXECUÇÃO FISCAL. PENHORA. BEM ALIENADO FIDUCIARIAMENTE. 1. O bem objeto de contrato de alienação fiduciária não pode se sujeitar à penhora, pois não integra o patrimônio do executado/devedor fiduciante e, sim, da instituição financeira que não é parte na relação processual (execução), contudo a constrição pode incidir sobre os direitos do devedor fiduciante, no caso, as parcelas pagas dos veículos. 2. Remessa oficial parcialmente provida. (Remessa Ex Officio em Ação Cível nº </w:t>
      </w:r>
      <w:r>
        <w:rPr>
          <w:lang w:val="en-US"/>
        </w:rPr>
        <w:lastRenderedPageBreak/>
        <w:t xml:space="preserve">2005.04.01.050157-3/SC, 1ª Turma do TRF da 4ª Região, Rel. Marcos Roberto Araújo dos Santos. J. 04.03.2009, unânime, DE 10.03.2009). </w:t>
      </w:r>
    </w:p>
    <w:p w:rsidR="00540A6F" w:rsidRDefault="00540A6F">
      <w:pPr>
        <w:widowControl/>
        <w:rPr>
          <w:lang w:val="en-US"/>
        </w:rPr>
      </w:pPr>
    </w:p>
    <w:p w:rsidR="00540A6F" w:rsidRDefault="00540A6F">
      <w:pPr>
        <w:widowControl/>
        <w:rPr>
          <w:lang w:val="en-US"/>
        </w:rPr>
      </w:pPr>
      <w:r>
        <w:rPr>
          <w:lang w:val="en-US"/>
        </w:rPr>
        <w:t xml:space="preserve">AGRAVO DE INSTRUMENTO. ALIENAÇÃO FIDUCIÁRIA. PENHORA DE DIREITOS AQUISITIVOS SOBRE VEÍCULO. POSSIBILIDADE. O bem alienado fiduciariamente não pode ser objeto de penhora, uma vez que o devedor é apenas possuidor da coisa, mas os direitos aquisitivos decorrentes do contrato (parcelas pagas do financiamento) podem sofrer constrição. Recurso provido. (Processo nº 2010.00.2.002744-5 (416283), 6ª Turma Cível do TJDFT, Rel. Otávio Augusto. Unânime, Dje 15.04.2010). </w:t>
      </w:r>
    </w:p>
    <w:p w:rsidR="00540A6F" w:rsidRDefault="00540A6F">
      <w:pPr>
        <w:widowControl/>
        <w:rPr>
          <w:lang w:val="en-US"/>
        </w:rPr>
      </w:pPr>
    </w:p>
    <w:p w:rsidR="00540A6F" w:rsidRDefault="00540A6F">
      <w:pPr>
        <w:widowControl/>
        <w:rPr>
          <w:lang w:val="en-US"/>
        </w:rPr>
      </w:pPr>
      <w:r>
        <w:rPr>
          <w:lang w:val="en-US"/>
        </w:rPr>
        <w:t xml:space="preserve">EMBARGOS DE DEVEDOR - SUSPEIÇÃO - REQUISITOS - BEM ALIENADO FIDUCIARIAMENTE - ENSINO EDUCACIONAL - CDC - APLICABILIDADE. As hipóteses elencadas [...], segundo orientação jurisprudencial, são taxativas, e, necessitam ser arguidas na primeira oportunidade em a parte interessada tiver para falar nos autos, devendo ser suscitada através de exceção e ser processada em autos apartados. É impossível a penhora sobre bem que contém o gravame da alienação fiduciária em garantia, por não constituir bem certo e individualizado do patrimônio do devedor, podendo a constrição judicial recair sobre o crédito oriundo do contrato. A entidade que firma contrato de prestação de ensino educacional enquadra-se no conceito de fornecedor, ficando, assim, sujeita às normas preconizadas no Código de Defesa do Consumidor, dentre elas a da limitação da multa moratória em 2%. (Apelação Cível nº 1.0024.06.198554-5/001(1), 15ª Câmara Cível do TJMG, Rel. José Affonso da Costa Côrtes. J. 04.06.2009, unânime, Publ. 01.07.2009). </w:t>
      </w:r>
    </w:p>
    <w:p w:rsidR="00540A6F" w:rsidRDefault="00540A6F">
      <w:pPr>
        <w:widowControl/>
        <w:rPr>
          <w:lang w:val="en-US"/>
        </w:rPr>
      </w:pPr>
      <w:r>
        <w:rPr>
          <w:lang w:val="en-US"/>
        </w:rPr>
        <w:t>(Grifos nossos)</w:t>
      </w:r>
    </w:p>
    <w:p w:rsidR="00540A6F" w:rsidRDefault="00540A6F">
      <w:pPr>
        <w:widowControl/>
        <w:rPr>
          <w:lang w:val="en-US"/>
        </w:rPr>
      </w:pPr>
    </w:p>
    <w:p w:rsidR="00540A6F" w:rsidRDefault="00540A6F">
      <w:pPr>
        <w:widowControl/>
        <w:rPr>
          <w:lang w:val="en-US"/>
        </w:rPr>
      </w:pPr>
      <w:r>
        <w:rPr>
          <w:lang w:val="en-US"/>
        </w:rPr>
        <w:t xml:space="preserve">9. Diante da contestação da Embargada, comprovado está seu reconhecimento integral aos termos dos presentes Embargos, não restando outra decisão a ser tomada senão o julgamento totalmente procedente com a consequente anulação da penhora. </w:t>
      </w:r>
    </w:p>
    <w:p w:rsidR="00540A6F" w:rsidRDefault="00540A6F">
      <w:pPr>
        <w:widowControl/>
        <w:rPr>
          <w:lang w:val="en-US"/>
        </w:rPr>
      </w:pPr>
      <w:r>
        <w:rPr>
          <w:lang w:val="en-US"/>
        </w:rPr>
        <w:t xml:space="preserve">DIANTE DO EXPOSTO, reiterando os termos expendidos na peça inicial, REQUER o julgamento totalmente procedente dos presentes embargos, pugnando pela anulação da penhora e a sua consequente baixa do registro junto ao Detran da restrição, condenando-se, ainda, a embargante, aos ônus sucumbenciais. </w:t>
      </w:r>
    </w:p>
    <w:p w:rsidR="00540A6F" w:rsidRDefault="00540A6F">
      <w:pPr>
        <w:widowControl/>
        <w:rPr>
          <w:lang w:val="en-US"/>
        </w:rPr>
      </w:pPr>
    </w:p>
    <w:p w:rsidR="00540A6F" w:rsidRDefault="00540A6F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540A6F" w:rsidRDefault="00540A6F">
      <w:pPr>
        <w:widowControl/>
        <w:rPr>
          <w:lang w:val="en-US"/>
        </w:rPr>
      </w:pPr>
    </w:p>
    <w:p w:rsidR="00540A6F" w:rsidRDefault="00540A6F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540A6F" w:rsidRDefault="00540A6F">
      <w:pPr>
        <w:widowControl/>
        <w:rPr>
          <w:lang w:val="en-US"/>
        </w:rPr>
      </w:pPr>
    </w:p>
    <w:p w:rsidR="00540A6F" w:rsidRDefault="00540A6F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540A6F" w:rsidRDefault="00540A6F">
      <w:pPr>
        <w:widowControl/>
        <w:rPr>
          <w:lang w:val="en-US"/>
        </w:rPr>
      </w:pPr>
    </w:p>
    <w:p w:rsidR="00540A6F" w:rsidRDefault="00540A6F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540A6F" w:rsidRDefault="00540A6F">
      <w:pPr>
        <w:widowControl/>
        <w:rPr>
          <w:lang w:val="en-US"/>
        </w:rPr>
      </w:pPr>
    </w:p>
    <w:p w:rsidR="00540A6F" w:rsidRDefault="00540A6F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540A6F" w:rsidRDefault="00540A6F">
      <w:pPr>
        <w:widowControl/>
        <w:rPr>
          <w:lang w:val="en-US"/>
        </w:rPr>
      </w:pPr>
    </w:p>
    <w:sectPr w:rsidR="00540A6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A0648" w:rsidRDefault="00DA0648" w:rsidP="00DA0648">
      <w:r>
        <w:separator/>
      </w:r>
    </w:p>
  </w:endnote>
  <w:endnote w:type="continuationSeparator" w:id="0">
    <w:p w:rsidR="00DA0648" w:rsidRDefault="00DA0648" w:rsidP="00DA06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A0648" w:rsidRDefault="00DA064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A0648" w:rsidRPr="00DA0648" w:rsidRDefault="00DA0648" w:rsidP="00DA0648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A0648" w:rsidRDefault="00DA064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A0648" w:rsidRDefault="00DA0648" w:rsidP="00DA0648">
      <w:r>
        <w:separator/>
      </w:r>
    </w:p>
  </w:footnote>
  <w:footnote w:type="continuationSeparator" w:id="0">
    <w:p w:rsidR="00DA0648" w:rsidRDefault="00DA0648" w:rsidP="00DA06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A0648" w:rsidRDefault="00DA064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A0648" w:rsidRPr="00DA0648" w:rsidRDefault="00DA0648" w:rsidP="00DA0648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A0648" w:rsidRDefault="00DA0648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540A6F"/>
    <w:rsid w:val="00540A6F"/>
    <w:rsid w:val="00DA0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DA064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A0648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DA064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A0648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791</Words>
  <Characters>4276</Characters>
  <Application>Microsoft Office Word</Application>
  <DocSecurity>0</DocSecurity>
  <Lines>35</Lines>
  <Paragraphs>10</Paragraphs>
  <ScaleCrop>false</ScaleCrop>
  <Company/>
  <LinksUpToDate>false</LinksUpToDate>
  <CharactersWithSpaces>5057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2023-11-05T16:10:00Z</dcterms:created>
  <dcterms:modified xsi:type="dcterms:W3CDTF">2023-11-05T21:28:00Z</dcterms:modified>
</cp:coreProperties>
</file>